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5629"/>
      </w:tblGrid>
      <w:tr w:rsidR="0021601C" w14:paraId="4FF7726D" w14:textId="77777777" w:rsidTr="00ED21F9">
        <w:tc>
          <w:tcPr>
            <w:tcW w:w="3441" w:type="dxa"/>
          </w:tcPr>
          <w:p w14:paraId="4D44CCEF" w14:textId="77777777" w:rsidR="0021601C" w:rsidRPr="00062D20" w:rsidRDefault="0021601C" w:rsidP="00ED21F9">
            <w:pPr>
              <w:tabs>
                <w:tab w:val="left" w:pos="5910"/>
              </w:tabs>
              <w:jc w:val="center"/>
            </w:pPr>
            <w:r w:rsidRPr="00062D20">
              <w:t>BỘ GIÁO DỤC VÀ ĐÀO TẠO</w:t>
            </w:r>
          </w:p>
          <w:p w14:paraId="6376BCD9" w14:textId="77777777" w:rsidR="0021601C" w:rsidRPr="00062D20" w:rsidRDefault="0021601C" w:rsidP="00ED21F9">
            <w:pPr>
              <w:tabs>
                <w:tab w:val="left" w:pos="5910"/>
              </w:tabs>
              <w:jc w:val="center"/>
              <w:rPr>
                <w:b/>
              </w:rPr>
            </w:pPr>
            <w:r w:rsidRPr="00062D20">
              <w:rPr>
                <w:b/>
              </w:rPr>
              <w:t>TRƯỜNG ĐẠI HỌC VINH</w:t>
            </w:r>
          </w:p>
          <w:p w14:paraId="5D37AA5F" w14:textId="77777777" w:rsidR="0021601C" w:rsidRDefault="0021601C" w:rsidP="00ED21F9">
            <w:pPr>
              <w:jc w:val="center"/>
              <w:rPr>
                <w:b/>
                <w:szCs w:val="26"/>
              </w:rPr>
            </w:pPr>
            <w:r w:rsidRPr="00062D20">
              <w:rPr>
                <w:b/>
                <w:szCs w:val="26"/>
              </w:rPr>
              <w:t>¯¯¯¯¯¯¯¯¯¯¯¯¯¯¯</w:t>
            </w:r>
          </w:p>
          <w:p w14:paraId="3B8FDAAD" w14:textId="6F4DC7B0" w:rsidR="0021601C" w:rsidRPr="007B7D70" w:rsidRDefault="0021601C" w:rsidP="00ED21F9">
            <w:pPr>
              <w:jc w:val="center"/>
              <w:rPr>
                <w:b/>
                <w:bCs/>
                <w:sz w:val="26"/>
                <w:szCs w:val="26"/>
              </w:rPr>
            </w:pPr>
            <w:r>
              <w:rPr>
                <w:b/>
                <w:bCs/>
                <w:sz w:val="26"/>
                <w:szCs w:val="28"/>
              </w:rPr>
              <w:t>Trường Sư phạm</w:t>
            </w:r>
          </w:p>
        </w:tc>
        <w:tc>
          <w:tcPr>
            <w:tcW w:w="5629" w:type="dxa"/>
          </w:tcPr>
          <w:p w14:paraId="18C4E25C" w14:textId="77777777" w:rsidR="0021601C" w:rsidRPr="00062D20" w:rsidRDefault="0021601C" w:rsidP="00ED21F9">
            <w:pPr>
              <w:tabs>
                <w:tab w:val="left" w:pos="5910"/>
              </w:tabs>
              <w:jc w:val="center"/>
              <w:rPr>
                <w:b/>
              </w:rPr>
            </w:pPr>
            <w:r w:rsidRPr="00062D20">
              <w:rPr>
                <w:b/>
              </w:rPr>
              <w:t>CỘNG HÒA XÃ HỘI CHỦ NGHĨA VIỆT NAM</w:t>
            </w:r>
          </w:p>
          <w:p w14:paraId="542CB026" w14:textId="77777777" w:rsidR="0021601C" w:rsidRDefault="0021601C" w:rsidP="00ED21F9">
            <w:pPr>
              <w:tabs>
                <w:tab w:val="left" w:pos="5910"/>
              </w:tabs>
              <w:jc w:val="center"/>
              <w:rPr>
                <w:b/>
                <w:sz w:val="26"/>
                <w:szCs w:val="28"/>
              </w:rPr>
            </w:pPr>
            <w:r w:rsidRPr="001B54AC">
              <w:rPr>
                <w:b/>
                <w:sz w:val="26"/>
                <w:szCs w:val="28"/>
              </w:rPr>
              <w:t>Độc lập - Tự do - Hạnh phúc</w:t>
            </w:r>
          </w:p>
          <w:p w14:paraId="516E7BA5" w14:textId="576F3F6A" w:rsidR="0021601C" w:rsidRPr="008D3E68" w:rsidRDefault="0021601C" w:rsidP="00ED21F9">
            <w:pPr>
              <w:spacing w:before="240"/>
              <w:jc w:val="center"/>
              <w:rPr>
                <w:i/>
                <w:iCs/>
                <w:sz w:val="26"/>
                <w:szCs w:val="26"/>
              </w:rPr>
            </w:pPr>
            <w:r>
              <w:rPr>
                <w:i/>
                <w:iCs/>
                <w:noProof/>
                <w:sz w:val="26"/>
                <w:szCs w:val="26"/>
              </w:rPr>
              <mc:AlternateContent>
                <mc:Choice Requires="wps">
                  <w:drawing>
                    <wp:anchor distT="0" distB="0" distL="114300" distR="114300" simplePos="0" relativeHeight="251659264" behindDoc="0" locked="0" layoutInCell="1" allowOverlap="1" wp14:anchorId="550FD17E" wp14:editId="5AE4C1CA">
                      <wp:simplePos x="0" y="0"/>
                      <wp:positionH relativeFrom="column">
                        <wp:posOffset>746539</wp:posOffset>
                      </wp:positionH>
                      <wp:positionV relativeFrom="paragraph">
                        <wp:posOffset>33407</wp:posOffset>
                      </wp:positionV>
                      <wp:extent cx="1924216" cy="0"/>
                      <wp:effectExtent l="0" t="0" r="0" b="0"/>
                      <wp:wrapNone/>
                      <wp:docPr id="3" name="Straight Connector 2"/>
                      <wp:cNvGraphicFramePr/>
                      <a:graphic xmlns:a="http://schemas.openxmlformats.org/drawingml/2006/main">
                        <a:graphicData uri="http://schemas.microsoft.com/office/word/2010/wordprocessingShape">
                          <wps:wsp>
                            <wps:cNvCnPr/>
                            <wps:spPr>
                              <a:xfrm>
                                <a:off x="0" y="0"/>
                                <a:ext cx="19242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B31D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8pt,2.65pt" to="210.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" strokecolor="black [3213]" strokeweight=".5pt">
                      <v:stroke joinstyle="miter"/>
                    </v:line>
                  </w:pict>
                </mc:Fallback>
              </mc:AlternateContent>
            </w:r>
            <w:r w:rsidRPr="00F80D96">
              <w:rPr>
                <w:i/>
                <w:iCs/>
                <w:sz w:val="26"/>
                <w:szCs w:val="26"/>
              </w:rPr>
              <w:t xml:space="preserve">Nghệ An, ngày </w:t>
            </w:r>
            <w:r>
              <w:rPr>
                <w:i/>
                <w:iCs/>
                <w:sz w:val="26"/>
                <w:szCs w:val="26"/>
              </w:rPr>
              <w:t>1</w:t>
            </w:r>
            <w:r w:rsidR="00150428">
              <w:rPr>
                <w:i/>
                <w:iCs/>
                <w:sz w:val="26"/>
                <w:szCs w:val="26"/>
              </w:rPr>
              <w:t>1</w:t>
            </w:r>
            <w:r w:rsidRPr="00F80D96">
              <w:rPr>
                <w:i/>
                <w:iCs/>
                <w:sz w:val="26"/>
                <w:szCs w:val="26"/>
              </w:rPr>
              <w:t xml:space="preserve"> tháng </w:t>
            </w:r>
            <w:r>
              <w:rPr>
                <w:i/>
                <w:iCs/>
                <w:sz w:val="26"/>
                <w:szCs w:val="26"/>
              </w:rPr>
              <w:t>12</w:t>
            </w:r>
            <w:r w:rsidRPr="00F80D96">
              <w:rPr>
                <w:i/>
                <w:iCs/>
                <w:sz w:val="26"/>
                <w:szCs w:val="26"/>
              </w:rPr>
              <w:t xml:space="preserve"> năm 20</w:t>
            </w:r>
            <w:r>
              <w:rPr>
                <w:i/>
                <w:iCs/>
                <w:sz w:val="26"/>
                <w:szCs w:val="26"/>
              </w:rPr>
              <w:t>2</w:t>
            </w:r>
            <w:r w:rsidR="000E7BE2">
              <w:rPr>
                <w:i/>
                <w:iCs/>
                <w:sz w:val="26"/>
                <w:szCs w:val="26"/>
              </w:rPr>
              <w:t>3</w:t>
            </w:r>
          </w:p>
          <w:p w14:paraId="168A3A9E" w14:textId="77777777" w:rsidR="0021601C" w:rsidRDefault="0021601C" w:rsidP="00ED21F9">
            <w:pPr>
              <w:jc w:val="center"/>
              <w:rPr>
                <w:b/>
                <w:bCs/>
                <w:sz w:val="26"/>
                <w:szCs w:val="26"/>
                <w:lang w:val="vi-VN"/>
              </w:rPr>
            </w:pPr>
          </w:p>
        </w:tc>
      </w:tr>
    </w:tbl>
    <w:p w14:paraId="62ED8DD2" w14:textId="77777777" w:rsidR="0021601C" w:rsidRDefault="0021601C" w:rsidP="0021601C">
      <w:pPr>
        <w:jc w:val="center"/>
        <w:rPr>
          <w:b/>
          <w:bCs/>
          <w:sz w:val="26"/>
          <w:szCs w:val="26"/>
          <w:lang w:val="vi-VN"/>
        </w:rPr>
      </w:pPr>
    </w:p>
    <w:p w14:paraId="4E66A367" w14:textId="77777777" w:rsidR="0021601C" w:rsidRPr="003B7C9A" w:rsidRDefault="0021601C" w:rsidP="0021601C">
      <w:pPr>
        <w:jc w:val="center"/>
        <w:rPr>
          <w:b/>
          <w:bCs/>
          <w:sz w:val="26"/>
          <w:szCs w:val="26"/>
          <w:lang w:val="vi-VN"/>
        </w:rPr>
      </w:pPr>
      <w:r w:rsidRPr="003B7C9A">
        <w:rPr>
          <w:b/>
          <w:bCs/>
          <w:sz w:val="26"/>
          <w:szCs w:val="26"/>
          <w:lang w:val="vi-VN"/>
        </w:rPr>
        <w:t>BẢNG TỔNG HỢP</w:t>
      </w:r>
    </w:p>
    <w:p w14:paraId="529798C2" w14:textId="61E0AC88" w:rsidR="0021601C" w:rsidRPr="003B7C9A" w:rsidRDefault="0021601C" w:rsidP="0021601C">
      <w:pPr>
        <w:jc w:val="center"/>
        <w:rPr>
          <w:b/>
          <w:bCs/>
          <w:sz w:val="26"/>
          <w:szCs w:val="26"/>
          <w:lang w:val="vi-VN"/>
        </w:rPr>
      </w:pPr>
      <w:r w:rsidRPr="003B7C9A">
        <w:rPr>
          <w:b/>
          <w:bCs/>
          <w:sz w:val="26"/>
          <w:szCs w:val="26"/>
          <w:lang w:val="vi-VN"/>
        </w:rPr>
        <w:t>TÓM TẮT THÀNH TÍCH CỦA CÁC TẬP THỂ</w:t>
      </w:r>
    </w:p>
    <w:p w14:paraId="1CCC2B5C" w14:textId="77777777" w:rsidR="0021601C" w:rsidRPr="003B7C9A" w:rsidRDefault="0021601C" w:rsidP="0021601C">
      <w:pPr>
        <w:jc w:val="center"/>
        <w:rPr>
          <w:b/>
          <w:bCs/>
          <w:sz w:val="26"/>
          <w:szCs w:val="26"/>
        </w:rPr>
      </w:pPr>
      <w:r w:rsidRPr="003B7C9A">
        <w:rPr>
          <w:b/>
          <w:bCs/>
          <w:sz w:val="26"/>
          <w:szCs w:val="26"/>
        </w:rPr>
        <w:t>ĐỀ NGHỊ XÉT KHEN THƯỞNG</w:t>
      </w:r>
    </w:p>
    <w:p w14:paraId="5FA83CF0" w14:textId="77777777" w:rsidR="0021601C" w:rsidRPr="003B7C9A" w:rsidRDefault="0021601C" w:rsidP="0021601C">
      <w:pPr>
        <w:ind w:left="5040"/>
        <w:jc w:val="both"/>
        <w:rPr>
          <w:b/>
          <w:bCs/>
          <w:sz w:val="26"/>
          <w:szCs w:val="26"/>
        </w:rPr>
      </w:pPr>
    </w:p>
    <w:p w14:paraId="5436BF31" w14:textId="77777777" w:rsidR="0021601C" w:rsidRPr="003B7C9A" w:rsidRDefault="0021601C" w:rsidP="0021601C">
      <w:pPr>
        <w:pStyle w:val="ListParagraph"/>
        <w:numPr>
          <w:ilvl w:val="0"/>
          <w:numId w:val="2"/>
        </w:numPr>
        <w:rPr>
          <w:b/>
          <w:bCs/>
          <w:i/>
          <w:iCs/>
          <w:sz w:val="26"/>
          <w:szCs w:val="26"/>
        </w:rPr>
      </w:pPr>
      <w:r w:rsidRPr="003B7C9A">
        <w:rPr>
          <w:b/>
          <w:bCs/>
          <w:i/>
          <w:iCs/>
          <w:sz w:val="26"/>
          <w:szCs w:val="26"/>
        </w:rPr>
        <w:t>Giấy khen Hiệu trưởng trường đại học Vinh</w:t>
      </w:r>
    </w:p>
    <w:p w14:paraId="5351AC3E" w14:textId="77777777" w:rsidR="0021601C" w:rsidRPr="003B7C9A" w:rsidRDefault="0021601C" w:rsidP="0021601C">
      <w:pPr>
        <w:ind w:left="5040"/>
        <w:jc w:val="both"/>
        <w:rPr>
          <w:sz w:val="26"/>
          <w:szCs w:val="26"/>
        </w:rPr>
      </w:pPr>
    </w:p>
    <w:tbl>
      <w:tblPr>
        <w:tblStyle w:val="TableGrid"/>
        <w:tblW w:w="0" w:type="auto"/>
        <w:tblLook w:val="04A0" w:firstRow="1" w:lastRow="0" w:firstColumn="1" w:lastColumn="0" w:noHBand="0" w:noVBand="1"/>
      </w:tblPr>
      <w:tblGrid>
        <w:gridCol w:w="715"/>
        <w:gridCol w:w="1168"/>
        <w:gridCol w:w="7382"/>
      </w:tblGrid>
      <w:tr w:rsidR="0021601C" w:rsidRPr="003B7C9A" w14:paraId="6725A5D2" w14:textId="77777777" w:rsidTr="00ED21F9">
        <w:tc>
          <w:tcPr>
            <w:tcW w:w="715" w:type="dxa"/>
          </w:tcPr>
          <w:p w14:paraId="7F49A082" w14:textId="77777777" w:rsidR="0021601C" w:rsidRPr="003D5F58" w:rsidRDefault="0021601C" w:rsidP="003D5F58">
            <w:pPr>
              <w:jc w:val="center"/>
              <w:rPr>
                <w:b/>
                <w:bCs/>
                <w:sz w:val="26"/>
                <w:szCs w:val="26"/>
              </w:rPr>
            </w:pPr>
            <w:r w:rsidRPr="003D5F58">
              <w:rPr>
                <w:b/>
                <w:bCs/>
                <w:sz w:val="26"/>
                <w:szCs w:val="26"/>
              </w:rPr>
              <w:t>TT</w:t>
            </w:r>
          </w:p>
        </w:tc>
        <w:tc>
          <w:tcPr>
            <w:tcW w:w="1168" w:type="dxa"/>
          </w:tcPr>
          <w:p w14:paraId="469FA133" w14:textId="77777777" w:rsidR="0021601C" w:rsidRPr="003D5F58" w:rsidRDefault="0021601C" w:rsidP="003D5F58">
            <w:pPr>
              <w:jc w:val="center"/>
              <w:rPr>
                <w:b/>
                <w:bCs/>
                <w:sz w:val="26"/>
                <w:szCs w:val="26"/>
              </w:rPr>
            </w:pPr>
            <w:r w:rsidRPr="003D5F58">
              <w:rPr>
                <w:b/>
                <w:bCs/>
                <w:sz w:val="26"/>
                <w:szCs w:val="26"/>
              </w:rPr>
              <w:t>Đơn vị</w:t>
            </w:r>
          </w:p>
        </w:tc>
        <w:tc>
          <w:tcPr>
            <w:tcW w:w="7382" w:type="dxa"/>
          </w:tcPr>
          <w:p w14:paraId="74F7F2AC" w14:textId="3CFB20A1" w:rsidR="0021601C" w:rsidRPr="003D5F58" w:rsidRDefault="0021601C" w:rsidP="003D5F58">
            <w:pPr>
              <w:jc w:val="center"/>
              <w:rPr>
                <w:b/>
                <w:bCs/>
                <w:sz w:val="26"/>
                <w:szCs w:val="26"/>
              </w:rPr>
            </w:pPr>
            <w:r w:rsidRPr="003D5F58">
              <w:rPr>
                <w:b/>
                <w:bCs/>
                <w:sz w:val="26"/>
                <w:szCs w:val="26"/>
              </w:rPr>
              <w:t>Tóm tắt thành tích</w:t>
            </w:r>
          </w:p>
        </w:tc>
      </w:tr>
      <w:tr w:rsidR="0021601C" w:rsidRPr="003B7C9A" w14:paraId="6F22DA81" w14:textId="77777777" w:rsidTr="00ED21F9">
        <w:tc>
          <w:tcPr>
            <w:tcW w:w="715" w:type="dxa"/>
            <w:vAlign w:val="center"/>
          </w:tcPr>
          <w:p w14:paraId="2A575483" w14:textId="77777777" w:rsidR="0021601C" w:rsidRPr="003D5F58" w:rsidRDefault="0021601C" w:rsidP="003D5F58">
            <w:pPr>
              <w:pStyle w:val="ListParagraph"/>
              <w:numPr>
                <w:ilvl w:val="0"/>
                <w:numId w:val="1"/>
              </w:numPr>
              <w:jc w:val="center"/>
              <w:rPr>
                <w:sz w:val="26"/>
                <w:szCs w:val="26"/>
              </w:rPr>
            </w:pPr>
          </w:p>
        </w:tc>
        <w:tc>
          <w:tcPr>
            <w:tcW w:w="1168" w:type="dxa"/>
            <w:vAlign w:val="center"/>
          </w:tcPr>
          <w:p w14:paraId="7351FCA7" w14:textId="24F9D879" w:rsidR="0021601C" w:rsidRPr="003D5F58" w:rsidRDefault="0021601C" w:rsidP="003D5F58">
            <w:pPr>
              <w:jc w:val="center"/>
              <w:rPr>
                <w:sz w:val="26"/>
                <w:szCs w:val="26"/>
              </w:rPr>
            </w:pPr>
            <w:r w:rsidRPr="003D5F58">
              <w:rPr>
                <w:sz w:val="26"/>
                <w:szCs w:val="26"/>
              </w:rPr>
              <w:t xml:space="preserve">Khoa Giáo dục </w:t>
            </w:r>
            <w:r w:rsidR="006F1085" w:rsidRPr="003D5F58">
              <w:rPr>
                <w:sz w:val="26"/>
                <w:szCs w:val="26"/>
              </w:rPr>
              <w:t>Chính trị</w:t>
            </w:r>
          </w:p>
        </w:tc>
        <w:tc>
          <w:tcPr>
            <w:tcW w:w="7382" w:type="dxa"/>
          </w:tcPr>
          <w:p w14:paraId="3EE2E5C2" w14:textId="77777777" w:rsidR="00EA1952" w:rsidRPr="003D5F58" w:rsidRDefault="00EA1952" w:rsidP="003D5F58">
            <w:pPr>
              <w:rPr>
                <w:sz w:val="26"/>
                <w:szCs w:val="26"/>
              </w:rPr>
            </w:pPr>
            <w:r w:rsidRPr="003D5F58">
              <w:rPr>
                <w:sz w:val="26"/>
                <w:szCs w:val="26"/>
              </w:rPr>
              <w:t>- Đơn vị Hoàn thành xuất sắc nhiệm vụ;</w:t>
            </w:r>
          </w:p>
          <w:p w14:paraId="21951287" w14:textId="77777777" w:rsidR="00EA1952" w:rsidRPr="003D5F58" w:rsidRDefault="00EA1952" w:rsidP="003D5F58">
            <w:pPr>
              <w:rPr>
                <w:sz w:val="26"/>
                <w:szCs w:val="26"/>
              </w:rPr>
            </w:pPr>
            <w:r w:rsidRPr="003D5F58">
              <w:rPr>
                <w:sz w:val="26"/>
                <w:szCs w:val="26"/>
              </w:rPr>
              <w:t>- Có phong trào thi đua sổi nổi, thiết thực, hiệu quả; hoàn thành chỉ tiêu về công tác tuyển sinh, đào tạo ở bậc đào tạo đại học chính quy và thạc sỹ;</w:t>
            </w:r>
          </w:p>
          <w:p w14:paraId="6EF490B8" w14:textId="77777777" w:rsidR="00EA1952" w:rsidRPr="003D5F58" w:rsidRDefault="00EA1952" w:rsidP="003D5F58">
            <w:pPr>
              <w:pStyle w:val="BodyText"/>
              <w:rPr>
                <w:bCs/>
                <w:spacing w:val="-2"/>
                <w:sz w:val="26"/>
                <w:szCs w:val="26"/>
              </w:rPr>
            </w:pPr>
            <w:r w:rsidRPr="003D5F58">
              <w:rPr>
                <w:sz w:val="26"/>
                <w:szCs w:val="26"/>
              </w:rPr>
              <w:t xml:space="preserve">- </w:t>
            </w:r>
            <w:r w:rsidRPr="003D5F58">
              <w:rPr>
                <w:bCs/>
                <w:sz w:val="26"/>
                <w:szCs w:val="26"/>
              </w:rPr>
              <w:t>Công tác phát triển chương trình đào tạo và bồi dưỡng:</w:t>
            </w:r>
            <w:r w:rsidRPr="003D5F58">
              <w:rPr>
                <w:bCs/>
                <w:spacing w:val="-2"/>
                <w:sz w:val="26"/>
                <w:szCs w:val="26"/>
              </w:rPr>
              <w:t xml:space="preserve"> Hầu hết CĐR của CTĐT, đặc biệt là CĐR của CTĐT đại học hệ chính quy được cập nhật và công bố công khai trước giảng viên và cho sinh viên. Chương trình đào tạo sau đại học ngành LLDHBMGDCT được đổi mới cả về nội dung và phương pháp, năm học 2023.</w:t>
            </w:r>
          </w:p>
          <w:p w14:paraId="3760CE38" w14:textId="77777777" w:rsidR="00EA1952" w:rsidRPr="003D5F58" w:rsidRDefault="00EA1952" w:rsidP="003D5F58">
            <w:pPr>
              <w:pStyle w:val="BodyText"/>
              <w:rPr>
                <w:rFonts w:eastAsia="Calibri"/>
                <w:sz w:val="26"/>
                <w:szCs w:val="26"/>
                <w:lang w:eastAsia="en-US"/>
              </w:rPr>
            </w:pPr>
            <w:r w:rsidRPr="003D5F58">
              <w:rPr>
                <w:sz w:val="26"/>
                <w:szCs w:val="26"/>
              </w:rPr>
              <w:t>- Hoàn thành một khối lượng công việc rất lớn về giảng dạy đào tạo đại học chính quy, đại học VLVH, Cao học, Bồi dưỡng. Số giờ chuẩn theo định mức của GV: 4680; số giờ chuẩn phải thực hiện sau khi trừ giờ miễn giảm: 3.805; số giờ NCKH theo định mức: 3.300; số giờ HĐCM khác: 2.665. Số giờ đã thực hiện: 11.380; dự kiến thừa giờ trong năm học là: 6.500 tiết.</w:t>
            </w:r>
          </w:p>
          <w:p w14:paraId="17D3F910" w14:textId="77777777" w:rsidR="00EA1952" w:rsidRPr="003D5F58" w:rsidRDefault="00EA1952" w:rsidP="003D5F58">
            <w:pPr>
              <w:rPr>
                <w:rFonts w:eastAsia="Calibri"/>
                <w:sz w:val="26"/>
                <w:szCs w:val="26"/>
                <w:lang w:eastAsia="en-US"/>
              </w:rPr>
            </w:pPr>
            <w:r w:rsidRPr="003D5F58">
              <w:rPr>
                <w:rFonts w:eastAsia="Calibri"/>
                <w:sz w:val="26"/>
                <w:szCs w:val="26"/>
                <w:lang w:eastAsia="en-US"/>
              </w:rPr>
              <w:t xml:space="preserve">- Công tác nghiên cứu khoa học: Thực hiện 1 đề tài trọng điểm cấp trường (Chương trình đào tạo sau đại học ngành LLDHBMGDCT). Các bộ môn chủ động trong việc tổ chức các semina (06 buổi) gắn với nghiên cứu khoa học, với đổi mới nội dung, phương pháp giảng dạy. Nhiều </w:t>
            </w:r>
            <w:r w:rsidRPr="003D5F58">
              <w:rPr>
                <w:rFonts w:eastAsia="Calibri"/>
                <w:sz w:val="26"/>
                <w:szCs w:val="26"/>
                <w:lang w:val="vi-VN" w:eastAsia="en-US"/>
              </w:rPr>
              <w:t xml:space="preserve">giảng viên công bố kết quả nghiên cứu khoa học trên các tạp chí </w:t>
            </w:r>
            <w:r w:rsidRPr="003D5F58">
              <w:rPr>
                <w:rFonts w:eastAsia="Calibri"/>
                <w:sz w:val="26"/>
                <w:szCs w:val="26"/>
                <w:lang w:eastAsia="en-US"/>
              </w:rPr>
              <w:t xml:space="preserve">quốc tế và khoa học </w:t>
            </w:r>
            <w:r w:rsidRPr="003D5F58">
              <w:rPr>
                <w:rFonts w:eastAsia="Calibri"/>
                <w:sz w:val="26"/>
                <w:szCs w:val="26"/>
                <w:lang w:val="vi-VN" w:eastAsia="en-US"/>
              </w:rPr>
              <w:t>chuyên ngành</w:t>
            </w:r>
            <w:r w:rsidRPr="003D5F58">
              <w:rPr>
                <w:rFonts w:eastAsia="Calibri"/>
                <w:sz w:val="26"/>
                <w:szCs w:val="26"/>
                <w:lang w:eastAsia="en-US"/>
              </w:rPr>
              <w:t xml:space="preserve">: trong năm học 2022 - 2023 số lượng công bố quốc tế của khoa có 20 lượt giảng viên (trong đó có công bố 13 thuộc danh mục Scopus và ISI; 7 công bố thuộc danh mục ISSN); Có 10 bài đăng trên các tạp chí khoa học trong nước; </w:t>
            </w:r>
            <w:r w:rsidRPr="003D5F58">
              <w:rPr>
                <w:rFonts w:eastAsia="Calibri"/>
                <w:sz w:val="26"/>
                <w:szCs w:val="26"/>
                <w:lang w:val="vi-VN" w:eastAsia="en-US"/>
              </w:rPr>
              <w:t xml:space="preserve">tham gia </w:t>
            </w:r>
            <w:r w:rsidRPr="003D5F58">
              <w:rPr>
                <w:rFonts w:eastAsia="Calibri"/>
                <w:sz w:val="26"/>
                <w:szCs w:val="26"/>
                <w:lang w:eastAsia="en-US"/>
              </w:rPr>
              <w:t xml:space="preserve">nhiều </w:t>
            </w:r>
            <w:r w:rsidRPr="003D5F58">
              <w:rPr>
                <w:rFonts w:eastAsia="Calibri"/>
                <w:sz w:val="26"/>
                <w:szCs w:val="26"/>
                <w:lang w:val="vi-VN" w:eastAsia="en-US"/>
              </w:rPr>
              <w:t>hội thảo khoa học</w:t>
            </w:r>
            <w:r w:rsidRPr="003D5F58">
              <w:rPr>
                <w:rFonts w:eastAsia="Calibri"/>
                <w:sz w:val="26"/>
                <w:szCs w:val="26"/>
                <w:lang w:eastAsia="en-US"/>
              </w:rPr>
              <w:t xml:space="preserve"> trong nước và quốc tế. Biên soạn giáo trình, tài liệu: xuất bản 02 sách tham khảo, chuyên khảo.</w:t>
            </w:r>
          </w:p>
          <w:p w14:paraId="3A068F90" w14:textId="77777777" w:rsidR="00EA1952" w:rsidRPr="003D5F58" w:rsidRDefault="00EA1952" w:rsidP="003D5F58">
            <w:pPr>
              <w:rPr>
                <w:rFonts w:eastAsia="Calibri"/>
                <w:sz w:val="26"/>
                <w:szCs w:val="26"/>
                <w:lang w:eastAsia="en-US"/>
              </w:rPr>
            </w:pPr>
            <w:r w:rsidRPr="003D5F58">
              <w:rPr>
                <w:sz w:val="26"/>
                <w:szCs w:val="26"/>
              </w:rPr>
              <w:t>-100% viên chức Hoàn thành tốt nhiệm vụ; 20% viên chức Hoàn thành xuất sắc nhiệm vụ; 20% viên chức đạt Danh hiệu chiến sĩ thi đua cấp Cơ sở.</w:t>
            </w:r>
          </w:p>
          <w:p w14:paraId="31D262BE" w14:textId="28BE5C5C" w:rsidR="0021601C" w:rsidRPr="003D5F58" w:rsidRDefault="00EA1952" w:rsidP="003D5F58">
            <w:pPr>
              <w:rPr>
                <w:sz w:val="26"/>
                <w:szCs w:val="26"/>
              </w:rPr>
            </w:pPr>
            <w:r w:rsidRPr="003D5F58">
              <w:rPr>
                <w:sz w:val="26"/>
                <w:szCs w:val="26"/>
              </w:rPr>
              <w:t>- Tập thể đoàn kết, phát triển vững mạnh. Đơn vị Hoàn thành xuất sắc nhiệm vụ</w:t>
            </w:r>
            <w:r w:rsidRPr="003D5F58">
              <w:rPr>
                <w:rFonts w:eastAsia="Calibri"/>
                <w:sz w:val="26"/>
                <w:szCs w:val="26"/>
                <w:lang w:eastAsia="en-US"/>
              </w:rPr>
              <w:t xml:space="preserve">. </w:t>
            </w:r>
            <w:r w:rsidRPr="003D5F58">
              <w:rPr>
                <w:sz w:val="26"/>
                <w:szCs w:val="26"/>
              </w:rPr>
              <w:t>Phiếu tín nhiệm tập thể: 100%</w:t>
            </w:r>
          </w:p>
        </w:tc>
      </w:tr>
      <w:tr w:rsidR="0021601C" w:rsidRPr="003B7C9A" w14:paraId="2ABC22B2" w14:textId="77777777" w:rsidTr="00ED21F9">
        <w:tc>
          <w:tcPr>
            <w:tcW w:w="715" w:type="dxa"/>
            <w:vAlign w:val="center"/>
          </w:tcPr>
          <w:p w14:paraId="27256BA5" w14:textId="77777777" w:rsidR="0021601C" w:rsidRPr="003D5F58" w:rsidRDefault="0021601C" w:rsidP="003D5F58">
            <w:pPr>
              <w:pStyle w:val="ListParagraph"/>
              <w:numPr>
                <w:ilvl w:val="0"/>
                <w:numId w:val="1"/>
              </w:numPr>
              <w:jc w:val="center"/>
              <w:rPr>
                <w:sz w:val="26"/>
                <w:szCs w:val="26"/>
              </w:rPr>
            </w:pPr>
          </w:p>
        </w:tc>
        <w:tc>
          <w:tcPr>
            <w:tcW w:w="1168" w:type="dxa"/>
            <w:vAlign w:val="center"/>
          </w:tcPr>
          <w:p w14:paraId="619F5841" w14:textId="3AC0CCB0" w:rsidR="0021601C" w:rsidRPr="003D5F58" w:rsidRDefault="0021601C" w:rsidP="003D5F58">
            <w:pPr>
              <w:jc w:val="center"/>
              <w:rPr>
                <w:sz w:val="26"/>
                <w:szCs w:val="26"/>
              </w:rPr>
            </w:pPr>
            <w:r w:rsidRPr="003D5F58">
              <w:rPr>
                <w:sz w:val="26"/>
                <w:szCs w:val="26"/>
              </w:rPr>
              <w:t xml:space="preserve">Khoa </w:t>
            </w:r>
            <w:r w:rsidR="006F1085" w:rsidRPr="003D5F58">
              <w:rPr>
                <w:sz w:val="26"/>
                <w:szCs w:val="26"/>
              </w:rPr>
              <w:t>Ngữ văn</w:t>
            </w:r>
          </w:p>
        </w:tc>
        <w:tc>
          <w:tcPr>
            <w:tcW w:w="7382" w:type="dxa"/>
            <w:vAlign w:val="center"/>
          </w:tcPr>
          <w:p w14:paraId="7CBAEC77" w14:textId="77777777" w:rsidR="006F1085" w:rsidRPr="003D5F58" w:rsidRDefault="006F1085" w:rsidP="003D5F58">
            <w:pPr>
              <w:rPr>
                <w:sz w:val="26"/>
                <w:szCs w:val="26"/>
              </w:rPr>
            </w:pPr>
            <w:r w:rsidRPr="003D5F58">
              <w:rPr>
                <w:sz w:val="26"/>
                <w:szCs w:val="26"/>
              </w:rPr>
              <w:t>- Đơn vị Hoàn thành xuất sắc nhiệm vụ;</w:t>
            </w:r>
          </w:p>
          <w:p w14:paraId="2A0E7DA7" w14:textId="77777777" w:rsidR="006F1085" w:rsidRPr="003D5F58" w:rsidRDefault="006F1085" w:rsidP="003D5F58">
            <w:pPr>
              <w:rPr>
                <w:sz w:val="26"/>
                <w:szCs w:val="26"/>
              </w:rPr>
            </w:pPr>
            <w:r w:rsidRPr="003D5F58">
              <w:rPr>
                <w:sz w:val="26"/>
                <w:szCs w:val="26"/>
              </w:rPr>
              <w:t xml:space="preserve">- Tham gia tích cực vào các phong trào chung của trường Sư phạm, trường Đại học Vinh; hoàn thành xuất sắc các nhiệm vụ đào tạo, bồi </w:t>
            </w:r>
            <w:r w:rsidRPr="003D5F58">
              <w:rPr>
                <w:sz w:val="26"/>
                <w:szCs w:val="26"/>
              </w:rPr>
              <w:lastRenderedPageBreak/>
              <w:t>dưỡng; tuyển sinh hệ ĐHCQ đảm bảo số lượng và chất lượng đầu vào cao; duy trì tuyển sinh hệ ĐH vừa học vừa làm, cao học và NCS.</w:t>
            </w:r>
          </w:p>
          <w:p w14:paraId="08F74337" w14:textId="77777777" w:rsidR="006F1085" w:rsidRPr="003D5F58" w:rsidRDefault="006F1085" w:rsidP="003D5F58">
            <w:pPr>
              <w:spacing w:before="60" w:after="60"/>
              <w:rPr>
                <w:sz w:val="26"/>
                <w:szCs w:val="26"/>
                <w:lang w:val="vi-VN"/>
              </w:rPr>
            </w:pPr>
            <w:r w:rsidRPr="003D5F58">
              <w:rPr>
                <w:sz w:val="26"/>
                <w:szCs w:val="26"/>
              </w:rPr>
              <w:t xml:space="preserve">- </w:t>
            </w:r>
            <w:r w:rsidRPr="003D5F58">
              <w:rPr>
                <w:sz w:val="26"/>
                <w:szCs w:val="26"/>
                <w:lang w:val="vi-VN"/>
              </w:rPr>
              <w:t>Công tác đào tạo</w:t>
            </w:r>
            <w:r w:rsidRPr="003D5F58">
              <w:rPr>
                <w:sz w:val="26"/>
                <w:szCs w:val="26"/>
              </w:rPr>
              <w:t>,</w:t>
            </w:r>
            <w:r w:rsidRPr="003D5F58">
              <w:rPr>
                <w:sz w:val="26"/>
                <w:szCs w:val="26"/>
                <w:lang w:val="vi-VN"/>
              </w:rPr>
              <w:t xml:space="preserve"> bồi dưỡng cán bộ của</w:t>
            </w:r>
            <w:r w:rsidRPr="003D5F58">
              <w:rPr>
                <w:sz w:val="26"/>
                <w:szCs w:val="26"/>
              </w:rPr>
              <w:t xml:space="preserve"> Khoa</w:t>
            </w:r>
            <w:r w:rsidRPr="003D5F58">
              <w:rPr>
                <w:sz w:val="26"/>
                <w:szCs w:val="26"/>
                <w:lang w:val="vi-VN"/>
              </w:rPr>
              <w:t xml:space="preserve"> trong năm 2023 tiếp tục được đẩy mạnh.</w:t>
            </w:r>
            <w:r w:rsidRPr="003D5F58">
              <w:rPr>
                <w:sz w:val="26"/>
                <w:szCs w:val="26"/>
                <w:bdr w:val="none" w:sz="0" w:space="0" w:color="auto" w:frame="1"/>
                <w:lang w:val="vi-VN"/>
              </w:rPr>
              <w:t xml:space="preserve"> Năm 2023, khoa có 01 GV đang làm NCS; 07 GV hoàn thành chứng chỉ ngoại ngữ B1, B2 và IELTS; 01 GV tham gia hội thảo quốc tế và khóa học ngắn ngày ở nước ngoài; </w:t>
            </w:r>
            <w:r w:rsidRPr="003D5F58">
              <w:rPr>
                <w:bCs/>
                <w:sz w:val="26"/>
                <w:szCs w:val="26"/>
                <w:lang w:val="vi-VN"/>
              </w:rPr>
              <w:t>có 03 giảng viên đã hoàn thành chương trình bồi dưỡng và nâng hạng giảng viên chính;</w:t>
            </w:r>
          </w:p>
          <w:p w14:paraId="10DA5CC4" w14:textId="77777777" w:rsidR="006F1085" w:rsidRPr="003D5F58" w:rsidRDefault="006F1085" w:rsidP="003D5F58">
            <w:pPr>
              <w:spacing w:before="60" w:after="60"/>
              <w:rPr>
                <w:sz w:val="26"/>
                <w:szCs w:val="26"/>
                <w:lang w:val="vi-VN"/>
              </w:rPr>
            </w:pPr>
            <w:r w:rsidRPr="003D5F58">
              <w:rPr>
                <w:sz w:val="26"/>
                <w:szCs w:val="26"/>
                <w:lang w:val="vi-VN"/>
              </w:rPr>
              <w:t>- Đang thực hiện rà soát, điều chỉnh 04 chương trình đào tạo thạc sĩ: Văn học Việt Nam, Ngôn ngữ Việt Nam, Lí luận và PPDH bộ môn Ngữ văn, Lí luận văn học; hoàn thành đề cương chi tiết các học phần của CTĐT cử nhân Sư phạm Ngữ văn và đang thực hiện biên soạn đề cương chi tiết CTĐT thạc sĩ của 04 ngành đào tạo.</w:t>
            </w:r>
          </w:p>
          <w:p w14:paraId="24257F21" w14:textId="77777777" w:rsidR="006F1085" w:rsidRPr="003D5F58" w:rsidRDefault="006F1085" w:rsidP="003D5F58">
            <w:pPr>
              <w:spacing w:before="60" w:after="60"/>
              <w:rPr>
                <w:sz w:val="26"/>
                <w:szCs w:val="26"/>
                <w:lang w:val="vi-VN"/>
              </w:rPr>
            </w:pPr>
            <w:r w:rsidRPr="003D5F58">
              <w:rPr>
                <w:sz w:val="26"/>
                <w:szCs w:val="26"/>
                <w:lang w:val="vi-VN"/>
              </w:rPr>
              <w:t>- Tham gia hỗ trợ các đơn vị khác (trường Chuyên, trường THSP, khoa Tiểu học) trong dạy học, bồi dưỡng giáo viên và bồi dưỡng học sinh giỏi…</w:t>
            </w:r>
          </w:p>
          <w:p w14:paraId="4D8AEA1B" w14:textId="77777777" w:rsidR="006F1085" w:rsidRPr="003D5F58" w:rsidRDefault="006F1085" w:rsidP="003D5F58">
            <w:pPr>
              <w:rPr>
                <w:sz w:val="26"/>
                <w:szCs w:val="26"/>
                <w:lang w:val="vi-VN"/>
              </w:rPr>
            </w:pPr>
            <w:r w:rsidRPr="003D5F58">
              <w:rPr>
                <w:sz w:val="26"/>
                <w:szCs w:val="26"/>
                <w:lang w:val="vi-VN"/>
              </w:rPr>
              <w:t>- Hoạt động NCKH của GV và SV đạt được nhiều thành tích nổi bật: GV có sản phẩm KH bậc cao, biên soạn giáo trình, tổ chức và tham gia các hội thảo; tổ chức 01 hội thảo SV NCKH cấp khoa: 01 giải Nhì SV NCKH cấp Bộ, góp phần quan trọng để trường Sư phạm được Bộ trưởng Bộ GD &amp;ĐT tặng bằng khen.</w:t>
            </w:r>
          </w:p>
          <w:p w14:paraId="6543F4D5" w14:textId="77777777" w:rsidR="006F1085" w:rsidRPr="003D5F58" w:rsidRDefault="006F1085" w:rsidP="003D5F58">
            <w:pPr>
              <w:rPr>
                <w:sz w:val="26"/>
                <w:szCs w:val="26"/>
                <w:lang w:val="vi-VN"/>
              </w:rPr>
            </w:pPr>
            <w:r w:rsidRPr="003D5F58">
              <w:rPr>
                <w:sz w:val="26"/>
                <w:szCs w:val="26"/>
                <w:lang w:val="vi-VN"/>
              </w:rPr>
              <w:t xml:space="preserve">- 15/16 viên chức Hoàn thành tốt nhiệm vụ; 20% viên chức Hoàn thành xuất sắc nhiệm vụ;  20% viên chức đề nghị xem xét Danh hiệu chiến sĩ thi đua cấp Cơ sở; </w:t>
            </w:r>
          </w:p>
          <w:p w14:paraId="7B148636" w14:textId="77777777" w:rsidR="006F1085" w:rsidRPr="003D5F58" w:rsidRDefault="006F1085" w:rsidP="003D5F58">
            <w:pPr>
              <w:rPr>
                <w:sz w:val="26"/>
                <w:szCs w:val="26"/>
                <w:lang w:val="vi-VN"/>
              </w:rPr>
            </w:pPr>
            <w:r w:rsidRPr="003D5F58">
              <w:rPr>
                <w:sz w:val="26"/>
                <w:szCs w:val="26"/>
                <w:lang w:val="vi-VN"/>
              </w:rPr>
              <w:t>- Tập thể đoàn kết, phát triển vững mạnh và toàn diện.</w:t>
            </w:r>
          </w:p>
          <w:p w14:paraId="7BC76009" w14:textId="11795BEC" w:rsidR="0021601C" w:rsidRPr="003D5F58" w:rsidRDefault="006F1085" w:rsidP="003D5F58">
            <w:pPr>
              <w:rPr>
                <w:sz w:val="26"/>
                <w:szCs w:val="26"/>
                <w:lang w:val="vi-VN"/>
              </w:rPr>
            </w:pPr>
            <w:r w:rsidRPr="003D5F58">
              <w:rPr>
                <w:sz w:val="26"/>
                <w:szCs w:val="26"/>
                <w:lang w:val="vi-VN"/>
              </w:rPr>
              <w:t>- Phiếu tín nhiệm tập thể: 100%</w:t>
            </w:r>
          </w:p>
        </w:tc>
      </w:tr>
      <w:tr w:rsidR="00A62051" w:rsidRPr="003B7C9A" w14:paraId="6714A303" w14:textId="77777777" w:rsidTr="00ED21F9">
        <w:tc>
          <w:tcPr>
            <w:tcW w:w="715" w:type="dxa"/>
            <w:vAlign w:val="center"/>
          </w:tcPr>
          <w:p w14:paraId="0E8BD006" w14:textId="77777777" w:rsidR="00A62051" w:rsidRPr="003D5F58" w:rsidRDefault="00A62051" w:rsidP="003D5F58">
            <w:pPr>
              <w:pStyle w:val="ListParagraph"/>
              <w:numPr>
                <w:ilvl w:val="0"/>
                <w:numId w:val="1"/>
              </w:numPr>
              <w:jc w:val="center"/>
              <w:rPr>
                <w:sz w:val="26"/>
                <w:szCs w:val="26"/>
                <w:lang w:val="vi-VN"/>
              </w:rPr>
            </w:pPr>
          </w:p>
        </w:tc>
        <w:tc>
          <w:tcPr>
            <w:tcW w:w="1168" w:type="dxa"/>
            <w:vAlign w:val="center"/>
          </w:tcPr>
          <w:p w14:paraId="24B822FD" w14:textId="77777777" w:rsidR="00A62051" w:rsidRPr="003D5F58" w:rsidRDefault="00A62051" w:rsidP="003D5F58">
            <w:pPr>
              <w:jc w:val="center"/>
              <w:rPr>
                <w:sz w:val="26"/>
                <w:szCs w:val="26"/>
              </w:rPr>
            </w:pPr>
            <w:r w:rsidRPr="003D5F58">
              <w:rPr>
                <w:sz w:val="26"/>
                <w:szCs w:val="26"/>
              </w:rPr>
              <w:t>Khoa Giáo dục mầm non</w:t>
            </w:r>
          </w:p>
        </w:tc>
        <w:tc>
          <w:tcPr>
            <w:tcW w:w="7382" w:type="dxa"/>
          </w:tcPr>
          <w:p w14:paraId="7298A295" w14:textId="77777777" w:rsidR="00A62051" w:rsidRPr="003D5F58" w:rsidRDefault="00A62051" w:rsidP="003D5F58">
            <w:pPr>
              <w:rPr>
                <w:sz w:val="26"/>
                <w:szCs w:val="26"/>
              </w:rPr>
            </w:pPr>
            <w:r w:rsidRPr="003D5F58">
              <w:rPr>
                <w:sz w:val="26"/>
                <w:szCs w:val="26"/>
              </w:rPr>
              <w:t>- Đơn vị Hoàn thành xuất sắc nhiệm vụ;</w:t>
            </w:r>
          </w:p>
          <w:p w14:paraId="64A211DB" w14:textId="77777777" w:rsidR="00A62051" w:rsidRPr="003D5F58" w:rsidRDefault="00A62051" w:rsidP="003D5F58">
            <w:pPr>
              <w:rPr>
                <w:sz w:val="26"/>
                <w:szCs w:val="26"/>
              </w:rPr>
            </w:pPr>
            <w:r w:rsidRPr="003D5F58">
              <w:rPr>
                <w:sz w:val="26"/>
                <w:szCs w:val="26"/>
              </w:rPr>
              <w:t>- Có phong trào thi đua sổi nổi, thiết thực, hiệu quả; là một trong những đơn vị dẫn đầu toàn trường về công tác tuyển sinh, đào tạo ở tất cả các bậc học, các loại hình đào tạo, bồi dưỡng;</w:t>
            </w:r>
          </w:p>
          <w:p w14:paraId="3893F5C5" w14:textId="77777777" w:rsidR="00A62051" w:rsidRPr="003D5F58" w:rsidRDefault="00A62051" w:rsidP="003D5F58">
            <w:pPr>
              <w:rPr>
                <w:sz w:val="26"/>
                <w:szCs w:val="26"/>
              </w:rPr>
            </w:pPr>
            <w:r w:rsidRPr="003D5F58">
              <w:rPr>
                <w:sz w:val="26"/>
                <w:szCs w:val="26"/>
              </w:rPr>
              <w:t>- Đặc biệt, về công tác phát triển chương trình, tổ chức Bồi dưỡng GV và CBQLGD đáp ứng nhu cầu xã hội, đem lại hiệu quả kinh tế lớn cho Trường Đại học Vinh; góp phần lớn vào việc nâng cao chất lượng đối mới giáo dục mầm non cả nước, đặc biệt các tỉnh Nghệ An;</w:t>
            </w:r>
          </w:p>
          <w:p w14:paraId="1F486008" w14:textId="77777777" w:rsidR="00A62051" w:rsidRPr="003D5F58" w:rsidRDefault="00A62051" w:rsidP="003D5F58">
            <w:pPr>
              <w:rPr>
                <w:sz w:val="26"/>
                <w:szCs w:val="26"/>
              </w:rPr>
            </w:pPr>
            <w:r w:rsidRPr="003D5F58">
              <w:rPr>
                <w:sz w:val="26"/>
                <w:szCs w:val="26"/>
              </w:rPr>
              <w:t>- Hoàn thành một khối lượng công việc rất lớn về đào tạo đại học chính quy, đại học VLVH, Cao học, Bồi dưỡng…</w:t>
            </w:r>
          </w:p>
          <w:p w14:paraId="3698E81A" w14:textId="77777777" w:rsidR="00A62051" w:rsidRPr="003D5F58" w:rsidRDefault="00A62051" w:rsidP="003D5F58">
            <w:pPr>
              <w:rPr>
                <w:sz w:val="26"/>
                <w:szCs w:val="26"/>
              </w:rPr>
            </w:pPr>
            <w:r w:rsidRPr="003D5F58">
              <w:rPr>
                <w:sz w:val="26"/>
                <w:szCs w:val="26"/>
              </w:rPr>
              <w:t>- Nhiều giảng viên tham gia và đóng góp lớn trong việc biên soạn, nghiệm thu sách giáo khoa, tài liệu bồi dưỡng cho Bộ GD&amp;ĐT, trường Đại học Vinh; tham gia hỗ trợ thử nghiệm chương trình GDMN mới; tập huấn chuyên đề phát triển năng lực chuyên môn cho CBQL, GVMN cho các địa phương …</w:t>
            </w:r>
          </w:p>
          <w:p w14:paraId="230CF514" w14:textId="77777777" w:rsidR="00A62051" w:rsidRPr="003D5F58" w:rsidRDefault="00A62051" w:rsidP="003D5F58">
            <w:pPr>
              <w:rPr>
                <w:sz w:val="26"/>
                <w:szCs w:val="26"/>
              </w:rPr>
            </w:pPr>
            <w:r w:rsidRPr="003D5F58">
              <w:rPr>
                <w:sz w:val="26"/>
                <w:szCs w:val="26"/>
              </w:rPr>
              <w:t>- Có bước phát triển rõ rệt về thành tích nghiên cứu khoa học bậc cao, số lượng bài báo khoa học đăng tạp chí thuộc danh mục Scopus vượt mức đăng ký đầu năm.</w:t>
            </w:r>
          </w:p>
          <w:p w14:paraId="4322CC9E" w14:textId="77777777" w:rsidR="00A62051" w:rsidRPr="003D5F58" w:rsidRDefault="00A62051" w:rsidP="003D5F58">
            <w:pPr>
              <w:rPr>
                <w:sz w:val="26"/>
                <w:szCs w:val="26"/>
              </w:rPr>
            </w:pPr>
            <w:r w:rsidRPr="003D5F58">
              <w:rPr>
                <w:sz w:val="26"/>
                <w:szCs w:val="26"/>
              </w:rPr>
              <w:t>-100% viên chức Hoàn thành tốt nhiệm vụ; 20% viên chức Hoàn thành xuất sắc nhiệm vụ; 20% viên chức đạt Danh hiệu chiến sĩ thi đua cấp Cơ sở</w:t>
            </w:r>
          </w:p>
          <w:p w14:paraId="2910A6C3" w14:textId="77777777" w:rsidR="00A62051" w:rsidRPr="003D5F58" w:rsidRDefault="00A62051" w:rsidP="003D5F58">
            <w:pPr>
              <w:rPr>
                <w:sz w:val="26"/>
                <w:szCs w:val="26"/>
              </w:rPr>
            </w:pPr>
            <w:r w:rsidRPr="003D5F58">
              <w:rPr>
                <w:sz w:val="26"/>
                <w:szCs w:val="26"/>
              </w:rPr>
              <w:lastRenderedPageBreak/>
              <w:t>- Tập thể đóng góp nổi bật trong phòng trào Văn nghệ, Thể thao của Nhà trường.</w:t>
            </w:r>
          </w:p>
          <w:p w14:paraId="7EDA46C0" w14:textId="77777777" w:rsidR="00A62051" w:rsidRPr="003D5F58" w:rsidRDefault="00A62051" w:rsidP="003D5F58">
            <w:pPr>
              <w:rPr>
                <w:sz w:val="26"/>
                <w:szCs w:val="26"/>
              </w:rPr>
            </w:pPr>
            <w:r w:rsidRPr="003D5F58">
              <w:rPr>
                <w:sz w:val="26"/>
                <w:szCs w:val="26"/>
              </w:rPr>
              <w:t>- Tập thể đoàn kết, phát triển vững mạnh.</w:t>
            </w:r>
          </w:p>
          <w:p w14:paraId="2E860904" w14:textId="16D931A2" w:rsidR="00A62051" w:rsidRPr="003D5F58" w:rsidRDefault="00A62051" w:rsidP="003D5F58">
            <w:pPr>
              <w:rPr>
                <w:color w:val="081C36"/>
                <w:spacing w:val="3"/>
                <w:sz w:val="26"/>
                <w:szCs w:val="26"/>
              </w:rPr>
            </w:pPr>
            <w:r w:rsidRPr="003D5F58">
              <w:rPr>
                <w:sz w:val="26"/>
                <w:szCs w:val="26"/>
              </w:rPr>
              <w:t>- Phiếu tín nhiệm tập thể: 100%</w:t>
            </w:r>
          </w:p>
        </w:tc>
      </w:tr>
      <w:tr w:rsidR="00150428" w:rsidRPr="003B7C9A" w14:paraId="3B687E45" w14:textId="77777777" w:rsidTr="00ED21F9">
        <w:tc>
          <w:tcPr>
            <w:tcW w:w="715" w:type="dxa"/>
            <w:vAlign w:val="center"/>
          </w:tcPr>
          <w:p w14:paraId="1DBE8BA6" w14:textId="77777777" w:rsidR="00150428" w:rsidRPr="003D5F58" w:rsidRDefault="00150428" w:rsidP="003D5F58">
            <w:pPr>
              <w:pStyle w:val="ListParagraph"/>
              <w:numPr>
                <w:ilvl w:val="0"/>
                <w:numId w:val="1"/>
              </w:numPr>
              <w:jc w:val="center"/>
              <w:rPr>
                <w:sz w:val="26"/>
                <w:szCs w:val="26"/>
              </w:rPr>
            </w:pPr>
          </w:p>
        </w:tc>
        <w:tc>
          <w:tcPr>
            <w:tcW w:w="1168" w:type="dxa"/>
            <w:vAlign w:val="center"/>
          </w:tcPr>
          <w:p w14:paraId="320025D0" w14:textId="715438A0" w:rsidR="00150428" w:rsidRPr="003D5F58" w:rsidRDefault="00150428" w:rsidP="003D5F58">
            <w:pPr>
              <w:jc w:val="center"/>
              <w:rPr>
                <w:sz w:val="26"/>
                <w:szCs w:val="26"/>
              </w:rPr>
            </w:pPr>
            <w:r w:rsidRPr="003D5F58">
              <w:rPr>
                <w:sz w:val="26"/>
                <w:szCs w:val="26"/>
              </w:rPr>
              <w:t>Khoa Sinh học</w:t>
            </w:r>
          </w:p>
        </w:tc>
        <w:tc>
          <w:tcPr>
            <w:tcW w:w="7382" w:type="dxa"/>
          </w:tcPr>
          <w:p w14:paraId="7E5DC519" w14:textId="77777777" w:rsidR="00150428" w:rsidRPr="003D5F58" w:rsidRDefault="00150428" w:rsidP="003D5F58">
            <w:pPr>
              <w:rPr>
                <w:sz w:val="26"/>
                <w:szCs w:val="26"/>
                <w:lang w:val="vi-VN"/>
              </w:rPr>
            </w:pPr>
            <w:r w:rsidRPr="003D5F58">
              <w:rPr>
                <w:sz w:val="26"/>
                <w:szCs w:val="26"/>
                <w:lang w:val="vi-VN"/>
              </w:rPr>
              <w:t>- Đơn vị Hoàn thành xuất sắc nhiệm vụ, đạt và vượt mức các chỉ tiêu đã đăng ký trong  kế hoạch; 100% viên chức hoàn thành TỐT nhiệm vụ, 05/13 (39%) viên chức hoàn thành XUẤT SẮC nhiệm vụ.</w:t>
            </w:r>
          </w:p>
          <w:p w14:paraId="6E5F541A" w14:textId="77777777" w:rsidR="00150428" w:rsidRPr="003D5F58" w:rsidRDefault="00150428" w:rsidP="003D5F58">
            <w:pPr>
              <w:rPr>
                <w:sz w:val="26"/>
                <w:szCs w:val="26"/>
                <w:lang w:val="vi-VN"/>
              </w:rPr>
            </w:pPr>
            <w:r w:rsidRPr="003D5F58">
              <w:rPr>
                <w:sz w:val="26"/>
                <w:szCs w:val="26"/>
                <w:lang w:val="vi-VN"/>
              </w:rPr>
              <w:t>- Tham gia đầy đủ, có chất lượng và hiệu quả cao các phong trào thi đua của Trường Sư phạm và Trường Đại học Vinh do công đoàn tổ chức như các giải thể thao, hội diễn văn nghệ.</w:t>
            </w:r>
          </w:p>
          <w:p w14:paraId="5A2A6BBF" w14:textId="77777777" w:rsidR="00150428" w:rsidRPr="003D5F58" w:rsidRDefault="00150428" w:rsidP="003D5F58">
            <w:pPr>
              <w:rPr>
                <w:sz w:val="26"/>
                <w:szCs w:val="26"/>
                <w:lang w:val="vi-VN"/>
              </w:rPr>
            </w:pPr>
            <w:r w:rsidRPr="003D5F58">
              <w:rPr>
                <w:sz w:val="26"/>
                <w:szCs w:val="26"/>
                <w:lang w:val="vi-VN"/>
              </w:rPr>
              <w:t>- Đạt thành tích xuất sắc trong công tác phát triển cán bộ trong năm 2023:</w:t>
            </w:r>
          </w:p>
          <w:p w14:paraId="2874536F" w14:textId="77777777" w:rsidR="00150428" w:rsidRPr="003D5F58" w:rsidRDefault="00150428" w:rsidP="003D5F58">
            <w:pPr>
              <w:rPr>
                <w:sz w:val="26"/>
                <w:szCs w:val="26"/>
                <w:lang w:val="vi-VN"/>
              </w:rPr>
            </w:pPr>
            <w:r w:rsidRPr="003D5F58">
              <w:rPr>
                <w:sz w:val="26"/>
                <w:szCs w:val="26"/>
                <w:lang w:val="vi-VN"/>
              </w:rPr>
              <w:t>+ Có 2 đ/c đang công tác trực tiếp tại khoa và 01 đ/c đang công tác tại đơn vị khác nhưng tham gia giảng dạy tại khoa được bổ nhiệm là Giảng viên chính,</w:t>
            </w:r>
          </w:p>
          <w:p w14:paraId="11B18306" w14:textId="77777777" w:rsidR="00150428" w:rsidRPr="003D5F58" w:rsidRDefault="00150428" w:rsidP="003D5F58">
            <w:pPr>
              <w:rPr>
                <w:sz w:val="26"/>
                <w:szCs w:val="26"/>
                <w:lang w:val="vi-VN"/>
              </w:rPr>
            </w:pPr>
            <w:r w:rsidRPr="003D5F58">
              <w:rPr>
                <w:sz w:val="26"/>
                <w:szCs w:val="26"/>
                <w:lang w:val="vi-VN"/>
              </w:rPr>
              <w:t>+ Có 2 đ/c đang công tác trực tiếp tại khoa và 01 đ/c đang công tác tại đơn vị khác nhưng tham gia giảng dạy tại khoa đạt tiêu chuẩn để bổ nhiệm chức danh Phó Giáo sư,</w:t>
            </w:r>
          </w:p>
          <w:p w14:paraId="61FC2B69" w14:textId="77777777" w:rsidR="00150428" w:rsidRPr="003D5F58" w:rsidRDefault="00150428" w:rsidP="003D5F58">
            <w:pPr>
              <w:rPr>
                <w:sz w:val="26"/>
                <w:szCs w:val="26"/>
                <w:lang w:val="vi-VN"/>
              </w:rPr>
            </w:pPr>
            <w:r w:rsidRPr="003D5F58">
              <w:rPr>
                <w:sz w:val="26"/>
                <w:szCs w:val="26"/>
                <w:lang w:val="vi-VN"/>
              </w:rPr>
              <w:t>+ Có 1 đ/c được vinh danh là Nhà giáo tiêu biểu của năm</w:t>
            </w:r>
          </w:p>
          <w:p w14:paraId="221A37C2" w14:textId="77777777" w:rsidR="00150428" w:rsidRPr="003D5F58" w:rsidRDefault="00150428" w:rsidP="003D5F58">
            <w:pPr>
              <w:rPr>
                <w:sz w:val="26"/>
                <w:szCs w:val="26"/>
                <w:lang w:val="vi-VN"/>
              </w:rPr>
            </w:pPr>
            <w:r w:rsidRPr="003D5F58">
              <w:rPr>
                <w:sz w:val="26"/>
                <w:szCs w:val="26"/>
                <w:lang w:val="vi-VN"/>
              </w:rPr>
              <w:t>+ Có 2 đ/c đang công tác trực tiếp tại khoa và 02 đ/c đang công tác tại đơn vị khác nhưng tham gia giảng dạy tại khoa tham gia lớp tập huấn và được cấp chứng chỉ Dạy học Dựa vào Dự án do Đại sứ quán Hoa Kỳ tổ chức.</w:t>
            </w:r>
          </w:p>
          <w:p w14:paraId="62D9D46F" w14:textId="77777777" w:rsidR="00150428" w:rsidRPr="003D5F58" w:rsidRDefault="00150428" w:rsidP="003D5F58">
            <w:pPr>
              <w:rPr>
                <w:sz w:val="26"/>
                <w:szCs w:val="26"/>
                <w:lang w:val="vi-VN"/>
              </w:rPr>
            </w:pPr>
            <w:r w:rsidRPr="003D5F58">
              <w:rPr>
                <w:sz w:val="26"/>
                <w:szCs w:val="26"/>
                <w:lang w:val="vi-VN"/>
              </w:rPr>
              <w:t>- Số lượng công bố công trình khoa học trong và ngoài nước luôn duy trì ở mức cao, trong đó có bài đăng trên Tạp chí thuộc WOS có hạng Q1 trong lĩnh vực khoa học giáo dục.</w:t>
            </w:r>
          </w:p>
          <w:p w14:paraId="59B780B0" w14:textId="77777777" w:rsidR="00150428" w:rsidRPr="003D5F58" w:rsidRDefault="00150428" w:rsidP="003D5F58">
            <w:pPr>
              <w:rPr>
                <w:sz w:val="26"/>
                <w:szCs w:val="26"/>
                <w:lang w:val="vi-VN"/>
              </w:rPr>
            </w:pPr>
            <w:r w:rsidRPr="003D5F58">
              <w:rPr>
                <w:sz w:val="26"/>
                <w:szCs w:val="26"/>
                <w:lang w:val="vi-VN"/>
              </w:rPr>
              <w:t>- Giảng viên của khoa có công trình nghiên cứu tiêu biểu được UBND tỉnh tặng bằng khen.</w:t>
            </w:r>
          </w:p>
          <w:p w14:paraId="6FD0BC06" w14:textId="77777777" w:rsidR="00150428" w:rsidRPr="003D5F58" w:rsidRDefault="00150428" w:rsidP="003D5F58">
            <w:pPr>
              <w:rPr>
                <w:sz w:val="26"/>
                <w:szCs w:val="26"/>
                <w:lang w:val="vi-VN"/>
              </w:rPr>
            </w:pPr>
            <w:r w:rsidRPr="003D5F58">
              <w:rPr>
                <w:sz w:val="26"/>
                <w:szCs w:val="26"/>
                <w:lang w:val="vi-VN"/>
              </w:rPr>
              <w:t>- Là đơn vị tiên phong của Trường Sư phạm thành lập và duy trì hoạt động Câu lạc bộ Khởi nghiệp Đổi mới sáng tạo Khoa Sư phạm Sinh học, Trường Sư phạm</w:t>
            </w:r>
          </w:p>
          <w:p w14:paraId="35CA1516" w14:textId="77777777" w:rsidR="00150428" w:rsidRPr="003D5F58" w:rsidRDefault="00150428" w:rsidP="003D5F58">
            <w:pPr>
              <w:rPr>
                <w:sz w:val="26"/>
                <w:szCs w:val="26"/>
                <w:lang w:val="vi-VN"/>
              </w:rPr>
            </w:pPr>
            <w:r w:rsidRPr="003D5F58">
              <w:rPr>
                <w:sz w:val="26"/>
                <w:szCs w:val="26"/>
                <w:lang w:val="vi-VN"/>
              </w:rPr>
              <w:t>- Là đơn vị có chủ động xây dựng mạng lưới hợp tác với các trường phổ thông (tham gia đóng góp nhiều hoạt động của nhóm Giáo viên Sinh học Nghệ An), triển khai hoạt động dạy học thực hành cho học sinh THPT chuyên Phan Bội Châu.</w:t>
            </w:r>
          </w:p>
          <w:p w14:paraId="2497BDD8" w14:textId="77777777" w:rsidR="00150428" w:rsidRPr="003D5F58" w:rsidRDefault="00150428" w:rsidP="003D5F58">
            <w:pPr>
              <w:rPr>
                <w:sz w:val="26"/>
                <w:szCs w:val="26"/>
                <w:lang w:val="vi-VN"/>
              </w:rPr>
            </w:pPr>
            <w:r w:rsidRPr="003D5F58">
              <w:rPr>
                <w:sz w:val="26"/>
                <w:szCs w:val="26"/>
                <w:lang w:val="vi-VN"/>
              </w:rPr>
              <w:t>- Giảng viên của khoa đã biên soạn và nghiệm thu 03 giáo trình và đang chuẩn bị nghiệm thu 01 giáo trình.</w:t>
            </w:r>
          </w:p>
          <w:p w14:paraId="6C5ABA91" w14:textId="77777777" w:rsidR="00150428" w:rsidRPr="003D5F58" w:rsidRDefault="00150428" w:rsidP="003D5F58">
            <w:pPr>
              <w:rPr>
                <w:sz w:val="26"/>
                <w:szCs w:val="26"/>
                <w:lang w:val="vi-VN"/>
              </w:rPr>
            </w:pPr>
            <w:r w:rsidRPr="003D5F58">
              <w:rPr>
                <w:sz w:val="26"/>
                <w:szCs w:val="26"/>
                <w:lang w:val="vi-VN"/>
              </w:rPr>
              <w:t>- Hơn 10 lượt giảng viên tham gia các hội thảo, hội nghị khoa học trong nước và quốc tế</w:t>
            </w:r>
          </w:p>
          <w:p w14:paraId="6FB4483B" w14:textId="77777777" w:rsidR="00150428" w:rsidRPr="003D5F58" w:rsidRDefault="00150428" w:rsidP="003D5F58">
            <w:pPr>
              <w:rPr>
                <w:sz w:val="26"/>
                <w:szCs w:val="26"/>
                <w:lang w:val="vi-VN"/>
              </w:rPr>
            </w:pPr>
            <w:r w:rsidRPr="003D5F58">
              <w:rPr>
                <w:sz w:val="26"/>
                <w:szCs w:val="26"/>
                <w:lang w:val="vi-VN"/>
              </w:rPr>
              <w:t>- Tham gia tích cực vào công tác tổ chức Hội nghị CASEAN.</w:t>
            </w:r>
          </w:p>
          <w:p w14:paraId="6C3153CB" w14:textId="7243ED80" w:rsidR="00150428" w:rsidRPr="003D5F58" w:rsidRDefault="00150428" w:rsidP="003D5F58">
            <w:pPr>
              <w:rPr>
                <w:spacing w:val="3"/>
                <w:sz w:val="26"/>
                <w:szCs w:val="26"/>
                <w:lang w:val="vi-VN"/>
              </w:rPr>
            </w:pPr>
            <w:r w:rsidRPr="003D5F58">
              <w:rPr>
                <w:sz w:val="26"/>
                <w:szCs w:val="26"/>
                <w:lang w:val="vi-VN"/>
              </w:rPr>
              <w:t>- Được 100% viên chức đề xuất hình thức khen thưởng.</w:t>
            </w:r>
          </w:p>
        </w:tc>
      </w:tr>
    </w:tbl>
    <w:p w14:paraId="2DD30AB7" w14:textId="68D20CD0" w:rsidR="0021601C" w:rsidRPr="003B7C9A" w:rsidRDefault="0021601C" w:rsidP="00A604EF">
      <w:pPr>
        <w:pStyle w:val="ListParagraph"/>
        <w:rPr>
          <w:lang w:val="vi-VN"/>
        </w:rPr>
      </w:pPr>
      <w:r w:rsidRPr="003B7C9A">
        <w:rPr>
          <w:i/>
          <w:iCs/>
          <w:lang w:val="vi-VN"/>
        </w:rPr>
        <w:t xml:space="preserve">Danh sách này gồm </w:t>
      </w:r>
      <w:r w:rsidR="000E7BE2" w:rsidRPr="003B7C9A">
        <w:rPr>
          <w:i/>
          <w:iCs/>
          <w:lang w:val="vi-VN"/>
        </w:rPr>
        <w:t>0</w:t>
      </w:r>
      <w:r w:rsidRPr="003B7C9A">
        <w:rPr>
          <w:i/>
          <w:iCs/>
          <w:lang w:val="vi-VN"/>
        </w:rPr>
        <w:t>4 tập thể</w:t>
      </w:r>
      <w:r w:rsidR="003B7C9A">
        <w:rPr>
          <w:i/>
          <w:i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52"/>
      </w:tblGrid>
      <w:tr w:rsidR="0021601C" w:rsidRPr="003B7C9A" w14:paraId="02B4EA42" w14:textId="77777777" w:rsidTr="00ED21F9">
        <w:tc>
          <w:tcPr>
            <w:tcW w:w="4520" w:type="dxa"/>
          </w:tcPr>
          <w:p w14:paraId="144EE447" w14:textId="77777777" w:rsidR="0021601C" w:rsidRPr="003B7C9A" w:rsidRDefault="0021601C" w:rsidP="00ED21F9">
            <w:pPr>
              <w:jc w:val="center"/>
              <w:rPr>
                <w:sz w:val="26"/>
                <w:szCs w:val="26"/>
                <w:lang w:val="vi-VN"/>
              </w:rPr>
            </w:pPr>
          </w:p>
        </w:tc>
        <w:tc>
          <w:tcPr>
            <w:tcW w:w="4552" w:type="dxa"/>
          </w:tcPr>
          <w:p w14:paraId="31982A72" w14:textId="77777777" w:rsidR="0021601C" w:rsidRPr="003B7C9A" w:rsidRDefault="0021601C" w:rsidP="00ED21F9">
            <w:pPr>
              <w:jc w:val="center"/>
              <w:rPr>
                <w:b/>
                <w:bCs/>
                <w:sz w:val="26"/>
                <w:szCs w:val="26"/>
              </w:rPr>
            </w:pPr>
            <w:r w:rsidRPr="003B7C9A">
              <w:rPr>
                <w:b/>
                <w:bCs/>
                <w:sz w:val="26"/>
                <w:szCs w:val="26"/>
              </w:rPr>
              <w:t>HIỆU TRƯỞNG</w:t>
            </w:r>
          </w:p>
          <w:p w14:paraId="35A12929" w14:textId="77777777" w:rsidR="0021601C" w:rsidRPr="003B7C9A" w:rsidRDefault="0021601C" w:rsidP="00ED21F9">
            <w:pPr>
              <w:jc w:val="center"/>
              <w:rPr>
                <w:i/>
                <w:iCs/>
                <w:sz w:val="26"/>
                <w:szCs w:val="26"/>
              </w:rPr>
            </w:pPr>
          </w:p>
        </w:tc>
      </w:tr>
    </w:tbl>
    <w:p w14:paraId="112F23FA" w14:textId="77777777" w:rsidR="0021601C" w:rsidRPr="003B7C9A" w:rsidRDefault="0021601C" w:rsidP="0021601C">
      <w:pPr>
        <w:jc w:val="both"/>
        <w:rPr>
          <w:sz w:val="26"/>
          <w:szCs w:val="26"/>
        </w:rPr>
      </w:pPr>
    </w:p>
    <w:p w14:paraId="5883E6FD" w14:textId="37A0DBF7" w:rsidR="0021601C" w:rsidRDefault="0021601C" w:rsidP="0021601C">
      <w:pPr>
        <w:jc w:val="both"/>
        <w:rPr>
          <w:sz w:val="26"/>
          <w:szCs w:val="26"/>
        </w:rPr>
      </w:pPr>
    </w:p>
    <w:p w14:paraId="31235E69" w14:textId="77777777" w:rsidR="003D5F58" w:rsidRPr="003B7C9A" w:rsidRDefault="003D5F58" w:rsidP="0021601C">
      <w:pPr>
        <w:jc w:val="both"/>
        <w:rPr>
          <w:sz w:val="26"/>
          <w:szCs w:val="26"/>
        </w:rPr>
      </w:pPr>
    </w:p>
    <w:p w14:paraId="57416874" w14:textId="77777777" w:rsidR="0021601C" w:rsidRPr="003B7C9A" w:rsidRDefault="0021601C" w:rsidP="0021601C">
      <w:pPr>
        <w:ind w:left="4320" w:firstLine="720"/>
        <w:jc w:val="both"/>
        <w:rPr>
          <w:b/>
          <w:bCs/>
          <w:sz w:val="26"/>
          <w:szCs w:val="26"/>
        </w:rPr>
      </w:pPr>
      <w:r w:rsidRPr="003B7C9A">
        <w:rPr>
          <w:sz w:val="26"/>
          <w:szCs w:val="26"/>
        </w:rPr>
        <w:t xml:space="preserve">    </w:t>
      </w:r>
      <w:r w:rsidRPr="003B7C9A">
        <w:rPr>
          <w:b/>
          <w:bCs/>
          <w:sz w:val="26"/>
          <w:szCs w:val="26"/>
        </w:rPr>
        <w:t>PGS.TS. Lưu Tiến Hưng</w:t>
      </w:r>
    </w:p>
    <w:p w14:paraId="0350FD3D" w14:textId="77777777" w:rsidR="0021601C" w:rsidRPr="003B7C9A" w:rsidRDefault="0021601C" w:rsidP="0021601C">
      <w:pPr>
        <w:ind w:left="5040"/>
        <w:jc w:val="both"/>
        <w:rPr>
          <w:sz w:val="26"/>
          <w:szCs w:val="26"/>
        </w:rPr>
      </w:pPr>
    </w:p>
    <w:p w14:paraId="035AF7C4" w14:textId="77777777" w:rsidR="0021601C" w:rsidRDefault="0021601C"/>
    <w:sectPr w:rsidR="0021601C" w:rsidSect="00A604EF">
      <w:footerReference w:type="default" r:id="rId7"/>
      <w:footnotePr>
        <w:numRestart w:val="eachPage"/>
      </w:footnotePr>
      <w:pgSz w:w="11907" w:h="16840" w:code="9"/>
      <w:pgMar w:top="1134" w:right="1134"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B0303" w14:textId="77777777" w:rsidR="00F46448" w:rsidRDefault="00F46448" w:rsidP="003D5F58">
      <w:r>
        <w:separator/>
      </w:r>
    </w:p>
  </w:endnote>
  <w:endnote w:type="continuationSeparator" w:id="0">
    <w:p w14:paraId="763D415B" w14:textId="77777777" w:rsidR="00F46448" w:rsidRDefault="00F46448" w:rsidP="003D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604225"/>
      <w:docPartObj>
        <w:docPartGallery w:val="Page Numbers (Bottom of Page)"/>
        <w:docPartUnique/>
      </w:docPartObj>
    </w:sdtPr>
    <w:sdtEndPr>
      <w:rPr>
        <w:noProof/>
      </w:rPr>
    </w:sdtEndPr>
    <w:sdtContent>
      <w:p w14:paraId="481A0016" w14:textId="2695AFA9" w:rsidR="003D5F58" w:rsidRDefault="003D5F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125288" w14:textId="77777777" w:rsidR="003D5F58" w:rsidRDefault="003D5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8423E" w14:textId="77777777" w:rsidR="00F46448" w:rsidRDefault="00F46448" w:rsidP="003D5F58">
      <w:r>
        <w:separator/>
      </w:r>
    </w:p>
  </w:footnote>
  <w:footnote w:type="continuationSeparator" w:id="0">
    <w:p w14:paraId="2E03F854" w14:textId="77777777" w:rsidR="00F46448" w:rsidRDefault="00F46448" w:rsidP="003D5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0100E"/>
    <w:multiLevelType w:val="hybridMultilevel"/>
    <w:tmpl w:val="746CC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D50EF"/>
    <w:multiLevelType w:val="hybridMultilevel"/>
    <w:tmpl w:val="27E617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6212613">
    <w:abstractNumId w:val="1"/>
  </w:num>
  <w:num w:numId="2" w16cid:durableId="182709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1C"/>
    <w:rsid w:val="000E7BE2"/>
    <w:rsid w:val="00150428"/>
    <w:rsid w:val="001713E1"/>
    <w:rsid w:val="0021601C"/>
    <w:rsid w:val="003B7C9A"/>
    <w:rsid w:val="003D5F58"/>
    <w:rsid w:val="006F1085"/>
    <w:rsid w:val="007050BE"/>
    <w:rsid w:val="00733CE7"/>
    <w:rsid w:val="00843AA4"/>
    <w:rsid w:val="008E617C"/>
    <w:rsid w:val="00A604EF"/>
    <w:rsid w:val="00A62051"/>
    <w:rsid w:val="00EA1952"/>
    <w:rsid w:val="00F4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7F0C"/>
  <w15:chartTrackingRefBased/>
  <w15:docId w15:val="{705890E3-333D-4F79-82D2-B6D64CEB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1C"/>
    <w:pPr>
      <w:spacing w:after="0" w:line="240" w:lineRule="auto"/>
    </w:pPr>
    <w:rPr>
      <w:rFonts w:ascii="Times New Roman" w:eastAsia="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21601C"/>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01C"/>
    <w:pPr>
      <w:ind w:left="720"/>
      <w:contextualSpacing/>
    </w:pPr>
  </w:style>
  <w:style w:type="paragraph" w:styleId="BodyText">
    <w:name w:val="Body Text"/>
    <w:basedOn w:val="Normal"/>
    <w:link w:val="BodyTextChar"/>
    <w:uiPriority w:val="99"/>
    <w:unhideWhenUsed/>
    <w:rsid w:val="00EA1952"/>
    <w:pPr>
      <w:spacing w:after="120"/>
    </w:pPr>
  </w:style>
  <w:style w:type="character" w:customStyle="1" w:styleId="BodyTextChar">
    <w:name w:val="Body Text Char"/>
    <w:basedOn w:val="DefaultParagraphFont"/>
    <w:link w:val="BodyText"/>
    <w:uiPriority w:val="99"/>
    <w:rsid w:val="00EA1952"/>
    <w:rPr>
      <w:rFonts w:ascii="Times New Roman" w:eastAsia="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3D5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F58"/>
    <w:rPr>
      <w:rFonts w:ascii="Segoe UI" w:eastAsia="Times New Roman" w:hAnsi="Segoe UI" w:cs="Segoe UI"/>
      <w:sz w:val="18"/>
      <w:szCs w:val="18"/>
      <w:lang w:eastAsia="ja-JP"/>
    </w:rPr>
  </w:style>
  <w:style w:type="paragraph" w:styleId="Header">
    <w:name w:val="header"/>
    <w:basedOn w:val="Normal"/>
    <w:link w:val="HeaderChar"/>
    <w:uiPriority w:val="99"/>
    <w:unhideWhenUsed/>
    <w:rsid w:val="003D5F58"/>
    <w:pPr>
      <w:tabs>
        <w:tab w:val="center" w:pos="4680"/>
        <w:tab w:val="right" w:pos="9360"/>
      </w:tabs>
    </w:pPr>
  </w:style>
  <w:style w:type="character" w:customStyle="1" w:styleId="HeaderChar">
    <w:name w:val="Header Char"/>
    <w:basedOn w:val="DefaultParagraphFont"/>
    <w:link w:val="Header"/>
    <w:uiPriority w:val="99"/>
    <w:rsid w:val="003D5F58"/>
    <w:rPr>
      <w:rFonts w:ascii="Times New Roman" w:eastAsia="Times New Roman" w:hAnsi="Times New Roman" w:cs="Times New Roman"/>
      <w:sz w:val="24"/>
      <w:szCs w:val="24"/>
      <w:lang w:eastAsia="ja-JP"/>
    </w:rPr>
  </w:style>
  <w:style w:type="paragraph" w:styleId="Footer">
    <w:name w:val="footer"/>
    <w:basedOn w:val="Normal"/>
    <w:link w:val="FooterChar"/>
    <w:uiPriority w:val="99"/>
    <w:unhideWhenUsed/>
    <w:rsid w:val="003D5F58"/>
    <w:pPr>
      <w:tabs>
        <w:tab w:val="center" w:pos="4680"/>
        <w:tab w:val="right" w:pos="9360"/>
      </w:tabs>
    </w:pPr>
  </w:style>
  <w:style w:type="character" w:customStyle="1" w:styleId="FooterChar">
    <w:name w:val="Footer Char"/>
    <w:basedOn w:val="DefaultParagraphFont"/>
    <w:link w:val="Footer"/>
    <w:uiPriority w:val="99"/>
    <w:rsid w:val="003D5F58"/>
    <w:rPr>
      <w:rFonts w:ascii="Times New Roman" w:eastAsia="Times New Roman" w:hAnsi="Times New Roman" w:cs="Times New Roman"/>
      <w:sz w:val="24"/>
      <w:szCs w:val="24"/>
      <w:lang w:eastAsia="ja-JP"/>
    </w:rPr>
  </w:style>
  <w:style w:type="paragraph" w:styleId="Revision">
    <w:name w:val="Revision"/>
    <w:hidden/>
    <w:uiPriority w:val="99"/>
    <w:semiHidden/>
    <w:rsid w:val="00A604EF"/>
    <w:pPr>
      <w:spacing w:after="0"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Dao Thi Minh Chau</cp:lastModifiedBy>
  <cp:revision>5</cp:revision>
  <cp:lastPrinted>2024-08-24T09:04:00Z</cp:lastPrinted>
  <dcterms:created xsi:type="dcterms:W3CDTF">2023-12-11T08:04:00Z</dcterms:created>
  <dcterms:modified xsi:type="dcterms:W3CDTF">2024-08-24T09:04:00Z</dcterms:modified>
</cp:coreProperties>
</file>