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1"/>
        <w:gridCol w:w="5679"/>
      </w:tblGrid>
      <w:tr w:rsidR="008A3CFB" w:rsidRPr="008A3CFB" w14:paraId="40A97C11" w14:textId="77777777" w:rsidTr="00FA1BE7">
        <w:tc>
          <w:tcPr>
            <w:tcW w:w="3391" w:type="dxa"/>
          </w:tcPr>
          <w:p w14:paraId="3D4FF962" w14:textId="77777777" w:rsidR="000C5103" w:rsidRPr="00921011" w:rsidRDefault="000C5103" w:rsidP="003F4A18">
            <w:pPr>
              <w:widowControl w:val="0"/>
              <w:tabs>
                <w:tab w:val="left" w:pos="5910"/>
              </w:tabs>
              <w:jc w:val="center"/>
              <w:rPr>
                <w:bCs/>
                <w:sz w:val="26"/>
                <w:szCs w:val="26"/>
              </w:rPr>
            </w:pPr>
            <w:r w:rsidRPr="00921011">
              <w:rPr>
                <w:bCs/>
                <w:sz w:val="26"/>
                <w:szCs w:val="26"/>
              </w:rPr>
              <w:t>TRƯỜNG ĐẠI HỌC VINH</w:t>
            </w:r>
          </w:p>
          <w:p w14:paraId="401EF932" w14:textId="2D15F355" w:rsidR="00FE36E9" w:rsidRPr="00921011" w:rsidRDefault="00C750F1" w:rsidP="003F4A18">
            <w:pPr>
              <w:widowControl w:val="0"/>
              <w:rPr>
                <w:b/>
                <w:sz w:val="26"/>
                <w:szCs w:val="26"/>
                <w:u w:val="single"/>
              </w:rPr>
            </w:pPr>
            <w:r w:rsidRPr="00921011">
              <w:rPr>
                <w:b/>
                <w:sz w:val="26"/>
                <w:szCs w:val="26"/>
              </w:rPr>
              <w:t xml:space="preserve">       </w:t>
            </w:r>
            <w:r w:rsidRPr="00921011">
              <w:rPr>
                <w:b/>
                <w:sz w:val="26"/>
                <w:szCs w:val="26"/>
                <w:u w:val="single"/>
              </w:rPr>
              <w:t>TRƯỜNG SƯ PHẠM</w:t>
            </w:r>
          </w:p>
        </w:tc>
        <w:tc>
          <w:tcPr>
            <w:tcW w:w="5679" w:type="dxa"/>
          </w:tcPr>
          <w:p w14:paraId="7F4ACFC6" w14:textId="77777777" w:rsidR="000C5103" w:rsidRPr="00921011" w:rsidRDefault="000C5103" w:rsidP="003F4A18">
            <w:pPr>
              <w:widowControl w:val="0"/>
              <w:tabs>
                <w:tab w:val="left" w:pos="5910"/>
              </w:tabs>
              <w:jc w:val="center"/>
              <w:rPr>
                <w:b/>
                <w:sz w:val="26"/>
                <w:szCs w:val="26"/>
              </w:rPr>
            </w:pPr>
            <w:r w:rsidRPr="00921011">
              <w:rPr>
                <w:b/>
                <w:sz w:val="26"/>
                <w:szCs w:val="26"/>
              </w:rPr>
              <w:t>CỘNG HÒA XÃ HỘI CHỦ NGHĨA VIỆT NAM</w:t>
            </w:r>
          </w:p>
          <w:p w14:paraId="7411CC3F" w14:textId="77777777" w:rsidR="000C5103" w:rsidRPr="00921011" w:rsidRDefault="000C5103" w:rsidP="003F4A18">
            <w:pPr>
              <w:widowControl w:val="0"/>
              <w:tabs>
                <w:tab w:val="left" w:pos="5910"/>
              </w:tabs>
              <w:jc w:val="center"/>
              <w:rPr>
                <w:b/>
                <w:sz w:val="26"/>
                <w:szCs w:val="26"/>
              </w:rPr>
            </w:pPr>
            <w:r w:rsidRPr="00921011">
              <w:rPr>
                <w:b/>
                <w:sz w:val="26"/>
                <w:szCs w:val="26"/>
              </w:rPr>
              <w:t>Độc lập - Tự do - Hạnh phúc</w:t>
            </w:r>
          </w:p>
          <w:p w14:paraId="69D58DB0" w14:textId="77777777" w:rsidR="000C5103" w:rsidRPr="00921011" w:rsidRDefault="000C5103" w:rsidP="003F4A18">
            <w:pPr>
              <w:widowControl w:val="0"/>
              <w:jc w:val="center"/>
              <w:rPr>
                <w:b/>
                <w:bCs/>
                <w:sz w:val="26"/>
                <w:szCs w:val="26"/>
                <w:lang w:val="vi-VN"/>
              </w:rPr>
            </w:pPr>
            <w:r w:rsidRPr="00921011">
              <w:rPr>
                <w:b/>
                <w:sz w:val="26"/>
                <w:szCs w:val="26"/>
              </w:rPr>
              <w:t>¯¯¯¯¯¯¯¯¯¯¯¯¯¯¯¯¯¯¯¯¯¯¯¯¯¯</w:t>
            </w:r>
          </w:p>
        </w:tc>
      </w:tr>
    </w:tbl>
    <w:p w14:paraId="130BE1C6" w14:textId="33F2C1DB" w:rsidR="00FA1BE7" w:rsidRPr="008A3CFB" w:rsidRDefault="00FA1BE7" w:rsidP="003F4A18">
      <w:pPr>
        <w:widowControl w:val="0"/>
        <w:jc w:val="right"/>
        <w:rPr>
          <w:i/>
          <w:iCs/>
        </w:rPr>
      </w:pPr>
      <w:r w:rsidRPr="008A3CFB">
        <w:rPr>
          <w:i/>
          <w:iCs/>
        </w:rPr>
        <w:t xml:space="preserve">Nghệ An, ngày </w:t>
      </w:r>
      <w:r w:rsidR="008A3CFB">
        <w:rPr>
          <w:i/>
          <w:iCs/>
        </w:rPr>
        <w:t>11</w:t>
      </w:r>
      <w:r w:rsidR="008A3CFB" w:rsidRPr="008A3CFB">
        <w:rPr>
          <w:i/>
          <w:iCs/>
        </w:rPr>
        <w:t xml:space="preserve"> </w:t>
      </w:r>
      <w:r w:rsidRPr="008A3CFB">
        <w:rPr>
          <w:i/>
          <w:iCs/>
        </w:rPr>
        <w:t xml:space="preserve">tháng </w:t>
      </w:r>
      <w:r w:rsidR="008A3CFB" w:rsidRPr="008A3CFB">
        <w:rPr>
          <w:i/>
          <w:iCs/>
        </w:rPr>
        <w:t>1</w:t>
      </w:r>
      <w:r w:rsidR="008A3CFB">
        <w:rPr>
          <w:i/>
          <w:iCs/>
        </w:rPr>
        <w:t>2</w:t>
      </w:r>
      <w:r w:rsidR="008A3CFB" w:rsidRPr="008A3CFB">
        <w:rPr>
          <w:i/>
          <w:iCs/>
        </w:rPr>
        <w:t xml:space="preserve"> </w:t>
      </w:r>
      <w:r w:rsidRPr="008A3CFB">
        <w:rPr>
          <w:i/>
          <w:iCs/>
        </w:rPr>
        <w:t>năm 202</w:t>
      </w:r>
      <w:r w:rsidR="001070F3" w:rsidRPr="008A3CFB">
        <w:rPr>
          <w:i/>
          <w:iCs/>
        </w:rPr>
        <w:t>3</w:t>
      </w:r>
    </w:p>
    <w:p w14:paraId="41097DEE" w14:textId="77777777" w:rsidR="000C5103" w:rsidRPr="008A3CFB" w:rsidRDefault="000C5103" w:rsidP="003F4A18">
      <w:pPr>
        <w:widowControl w:val="0"/>
        <w:jc w:val="center"/>
        <w:rPr>
          <w:b/>
          <w:bCs/>
          <w:sz w:val="26"/>
          <w:lang w:val="vi-VN"/>
        </w:rPr>
      </w:pPr>
    </w:p>
    <w:p w14:paraId="0223CAA2" w14:textId="47332D32" w:rsidR="000C5103" w:rsidRPr="008A3CFB" w:rsidRDefault="003F4A18" w:rsidP="003F4A18">
      <w:pPr>
        <w:widowControl w:val="0"/>
        <w:jc w:val="center"/>
        <w:rPr>
          <w:b/>
          <w:bCs/>
          <w:sz w:val="26"/>
        </w:rPr>
      </w:pPr>
      <w:r w:rsidRPr="008A3CFB">
        <w:rPr>
          <w:b/>
          <w:bCs/>
          <w:sz w:val="26"/>
        </w:rPr>
        <w:t>BÁO CÁO THÀNH TÍCH</w:t>
      </w:r>
    </w:p>
    <w:p w14:paraId="38C79524" w14:textId="77777777" w:rsidR="003F4A18" w:rsidRPr="008A3CFB" w:rsidRDefault="000C5103" w:rsidP="003F4A18">
      <w:pPr>
        <w:widowControl w:val="0"/>
        <w:jc w:val="center"/>
        <w:rPr>
          <w:b/>
          <w:bCs/>
          <w:sz w:val="26"/>
        </w:rPr>
      </w:pPr>
      <w:r w:rsidRPr="008A3CFB">
        <w:rPr>
          <w:b/>
          <w:bCs/>
          <w:sz w:val="26"/>
        </w:rPr>
        <w:t xml:space="preserve">ĐỀ NGHỊ XÉT TẶNG DANH HIỆU </w:t>
      </w:r>
    </w:p>
    <w:p w14:paraId="08CEF7BE" w14:textId="1EA7BB5C" w:rsidR="000C5103" w:rsidRPr="008A3CFB" w:rsidRDefault="003F4A18" w:rsidP="003F4A18">
      <w:pPr>
        <w:widowControl w:val="0"/>
        <w:jc w:val="center"/>
        <w:rPr>
          <w:b/>
          <w:bCs/>
          <w:sz w:val="26"/>
        </w:rPr>
      </w:pPr>
      <w:r w:rsidRPr="008A3CFB">
        <w:rPr>
          <w:b/>
          <w:bCs/>
          <w:sz w:val="26"/>
        </w:rPr>
        <w:t xml:space="preserve">TẬP THỂ HOÀN THÀNH XUẤT SẮC NHIỆM VỤ </w:t>
      </w:r>
      <w:r w:rsidR="000C5103" w:rsidRPr="008A3CFB">
        <w:rPr>
          <w:b/>
          <w:bCs/>
          <w:sz w:val="26"/>
        </w:rPr>
        <w:t xml:space="preserve">NĂM </w:t>
      </w:r>
      <w:r w:rsidR="00C750F1" w:rsidRPr="008A3CFB">
        <w:rPr>
          <w:b/>
          <w:bCs/>
          <w:sz w:val="26"/>
        </w:rPr>
        <w:t>202</w:t>
      </w:r>
      <w:r w:rsidR="0050487C" w:rsidRPr="008A3CFB">
        <w:rPr>
          <w:b/>
          <w:bCs/>
          <w:sz w:val="26"/>
        </w:rPr>
        <w:t>3</w:t>
      </w:r>
    </w:p>
    <w:p w14:paraId="2FDDD2FD" w14:textId="6BF3F35F" w:rsidR="000C5103" w:rsidRPr="008A3CFB" w:rsidRDefault="000C5103" w:rsidP="003F4A18">
      <w:pPr>
        <w:widowControl w:val="0"/>
        <w:jc w:val="center"/>
        <w:rPr>
          <w:b/>
          <w:bCs/>
          <w:sz w:val="26"/>
        </w:rPr>
      </w:pPr>
    </w:p>
    <w:p w14:paraId="08CC7DF3" w14:textId="058BF615" w:rsidR="000C5103" w:rsidRPr="008A3CFB" w:rsidRDefault="000C5103" w:rsidP="003F4A18">
      <w:pPr>
        <w:widowControl w:val="0"/>
        <w:jc w:val="center"/>
        <w:rPr>
          <w:sz w:val="26"/>
          <w:szCs w:val="26"/>
        </w:rPr>
      </w:pPr>
      <w:r w:rsidRPr="008A3CFB">
        <w:rPr>
          <w:sz w:val="26"/>
          <w:szCs w:val="26"/>
        </w:rPr>
        <w:t>Kính gửi:</w:t>
      </w:r>
      <w:r w:rsidR="00FA1BE7" w:rsidRPr="008A3CFB">
        <w:rPr>
          <w:sz w:val="26"/>
          <w:szCs w:val="26"/>
        </w:rPr>
        <w:t xml:space="preserve"> </w:t>
      </w:r>
      <w:r w:rsidRPr="008A3CFB">
        <w:rPr>
          <w:sz w:val="26"/>
          <w:szCs w:val="26"/>
        </w:rPr>
        <w:t>Hội đồng Thi đua - Khen thưởng Trường Đại học Vinh</w:t>
      </w:r>
      <w:r w:rsidR="00FA1BE7" w:rsidRPr="008A3CFB">
        <w:rPr>
          <w:sz w:val="26"/>
          <w:szCs w:val="26"/>
        </w:rPr>
        <w:t>.</w:t>
      </w:r>
    </w:p>
    <w:p w14:paraId="064F861F" w14:textId="33D9046A" w:rsidR="000C5103" w:rsidRPr="008A3CFB" w:rsidRDefault="000C5103" w:rsidP="003F4A18">
      <w:pPr>
        <w:widowControl w:val="0"/>
      </w:pPr>
    </w:p>
    <w:p w14:paraId="29DC8293" w14:textId="5FD2FA6F" w:rsidR="000C5103" w:rsidRPr="008A3CFB" w:rsidRDefault="00C750F1" w:rsidP="003F4A18">
      <w:pPr>
        <w:widowControl w:val="0"/>
        <w:spacing w:before="60" w:after="60" w:line="26" w:lineRule="atLeast"/>
        <w:ind w:firstLine="720"/>
        <w:jc w:val="both"/>
        <w:rPr>
          <w:sz w:val="26"/>
          <w:szCs w:val="26"/>
          <w:lang w:val="vi-VN"/>
        </w:rPr>
      </w:pPr>
      <w:r w:rsidRPr="008A3CFB">
        <w:rPr>
          <w:sz w:val="26"/>
          <w:szCs w:val="26"/>
          <w:lang w:val="vi-VN"/>
        </w:rPr>
        <w:t>Trường Sư phạm</w:t>
      </w:r>
      <w:r w:rsidR="000C5103" w:rsidRPr="008A3CFB">
        <w:rPr>
          <w:sz w:val="26"/>
          <w:szCs w:val="26"/>
          <w:lang w:val="vi-VN"/>
        </w:rPr>
        <w:t xml:space="preserve"> kính </w:t>
      </w:r>
      <w:r w:rsidR="003F4A18" w:rsidRPr="008A3CFB">
        <w:rPr>
          <w:sz w:val="26"/>
          <w:szCs w:val="26"/>
          <w:lang w:val="vi-VN"/>
        </w:rPr>
        <w:t>Báo cáo thành tích năm 202</w:t>
      </w:r>
      <w:r w:rsidR="00FC1280" w:rsidRPr="008A3CFB">
        <w:rPr>
          <w:sz w:val="26"/>
          <w:szCs w:val="26"/>
        </w:rPr>
        <w:t>3</w:t>
      </w:r>
      <w:r w:rsidR="003F4A18" w:rsidRPr="008A3CFB">
        <w:rPr>
          <w:sz w:val="26"/>
          <w:szCs w:val="26"/>
          <w:lang w:val="vi-VN"/>
        </w:rPr>
        <w:t xml:space="preserve"> để </w:t>
      </w:r>
      <w:r w:rsidR="00FA1BE7" w:rsidRPr="008A3CFB">
        <w:rPr>
          <w:sz w:val="26"/>
          <w:szCs w:val="26"/>
          <w:lang w:val="vi-VN"/>
        </w:rPr>
        <w:t>đề nghị</w:t>
      </w:r>
      <w:r w:rsidR="000C5103" w:rsidRPr="008A3CFB">
        <w:rPr>
          <w:sz w:val="26"/>
          <w:szCs w:val="26"/>
          <w:lang w:val="vi-VN"/>
        </w:rPr>
        <w:t xml:space="preserve"> Hội đồng Thi đua - Khen thưởng Trường Đại học Vinh xét</w:t>
      </w:r>
      <w:r w:rsidR="003F4A18" w:rsidRPr="008A3CFB">
        <w:rPr>
          <w:sz w:val="26"/>
          <w:szCs w:val="26"/>
          <w:lang w:val="vi-VN"/>
        </w:rPr>
        <w:t>,</w:t>
      </w:r>
      <w:r w:rsidR="000C5103" w:rsidRPr="008A3CFB">
        <w:rPr>
          <w:sz w:val="26"/>
          <w:szCs w:val="26"/>
          <w:lang w:val="vi-VN"/>
        </w:rPr>
        <w:t xml:space="preserve"> tặng danh hiệu </w:t>
      </w:r>
      <w:r w:rsidR="003F4A18" w:rsidRPr="008A3CFB">
        <w:rPr>
          <w:sz w:val="26"/>
          <w:szCs w:val="26"/>
          <w:lang w:val="vi-VN"/>
        </w:rPr>
        <w:t>Tập thể lao động xuất sắc</w:t>
      </w:r>
      <w:r w:rsidR="000C5103" w:rsidRPr="008A3CFB">
        <w:rPr>
          <w:sz w:val="26"/>
          <w:szCs w:val="26"/>
          <w:lang w:val="vi-VN"/>
        </w:rPr>
        <w:t xml:space="preserve"> năm </w:t>
      </w:r>
      <w:r w:rsidRPr="008A3CFB">
        <w:rPr>
          <w:sz w:val="26"/>
          <w:szCs w:val="26"/>
          <w:lang w:val="vi-VN"/>
        </w:rPr>
        <w:t>202</w:t>
      </w:r>
      <w:r w:rsidR="00FC1280" w:rsidRPr="008A3CFB">
        <w:rPr>
          <w:sz w:val="26"/>
          <w:szCs w:val="26"/>
        </w:rPr>
        <w:t>3</w:t>
      </w:r>
      <w:r w:rsidRPr="008A3CFB">
        <w:rPr>
          <w:sz w:val="26"/>
          <w:szCs w:val="26"/>
          <w:lang w:val="vi-VN"/>
        </w:rPr>
        <w:t xml:space="preserve"> </w:t>
      </w:r>
      <w:r w:rsidR="000C5103" w:rsidRPr="008A3CFB">
        <w:rPr>
          <w:sz w:val="26"/>
          <w:szCs w:val="26"/>
          <w:lang w:val="vi-VN"/>
        </w:rPr>
        <w:t>như sau:</w:t>
      </w:r>
    </w:p>
    <w:p w14:paraId="3D9B9C33" w14:textId="062ED914" w:rsidR="003F4A18" w:rsidRPr="008A3CFB" w:rsidRDefault="003F4A18" w:rsidP="003F4A18">
      <w:pPr>
        <w:widowControl w:val="0"/>
        <w:spacing w:before="60" w:after="60" w:line="26" w:lineRule="atLeast"/>
        <w:ind w:firstLine="720"/>
        <w:jc w:val="both"/>
        <w:rPr>
          <w:sz w:val="26"/>
          <w:szCs w:val="26"/>
          <w:lang w:val="vi-VN"/>
        </w:rPr>
      </w:pPr>
      <w:r w:rsidRPr="008A3CFB">
        <w:rPr>
          <w:sz w:val="26"/>
          <w:szCs w:val="26"/>
          <w:lang w:val="vi-VN"/>
        </w:rPr>
        <w:t xml:space="preserve">Ngày 21/7/2021, Hội đồng trường Đại học Vinh đã ra Nghị quyết số 11/NQ-HĐT về việc thành lập Trường Sư phạm trên cơ sở hợp nhất các đơn vị đào tạo sư phạm là Viện SPTN, Viện SPXH, khoa Giáo dục và Trung tâm Bồi dưỡng nghiệp vụ sư phạm. Đối với các đơn vị cấu thành Trường Sư phạm, đây là </w:t>
      </w:r>
      <w:r w:rsidR="00612BED" w:rsidRPr="008A3CFB">
        <w:rPr>
          <w:sz w:val="26"/>
          <w:szCs w:val="26"/>
        </w:rPr>
        <w:t>những năm đầu</w:t>
      </w:r>
      <w:r w:rsidRPr="008A3CFB">
        <w:rPr>
          <w:sz w:val="26"/>
          <w:szCs w:val="26"/>
        </w:rPr>
        <w:t xml:space="preserve"> thực hiện tái cấu trúc Nhà trường với mô hình quản trị mới, </w:t>
      </w:r>
      <w:r w:rsidRPr="008A3CFB">
        <w:rPr>
          <w:sz w:val="26"/>
          <w:szCs w:val="26"/>
          <w:lang w:val="vi-VN"/>
        </w:rPr>
        <w:t>việc thực hiện nhiệm vụ diễn ra trong bối cảnh nhiều thuận lợi nhưng cũng không ít khó khăn.</w:t>
      </w:r>
    </w:p>
    <w:p w14:paraId="15C420B4" w14:textId="77777777" w:rsidR="003F4A18" w:rsidRPr="008A3CFB" w:rsidRDefault="003F4A18" w:rsidP="003F4A18">
      <w:pPr>
        <w:widowControl w:val="0"/>
        <w:spacing w:before="60" w:after="60" w:line="26" w:lineRule="atLeast"/>
        <w:jc w:val="both"/>
        <w:rPr>
          <w:sz w:val="26"/>
          <w:szCs w:val="26"/>
          <w:lang w:val="vi-VN"/>
        </w:rPr>
      </w:pPr>
      <w:r w:rsidRPr="008A3CFB">
        <w:rPr>
          <w:sz w:val="26"/>
          <w:szCs w:val="26"/>
          <w:lang w:val="vi-VN"/>
        </w:rPr>
        <w:tab/>
      </w:r>
      <w:r w:rsidRPr="008A3CFB">
        <w:rPr>
          <w:b/>
          <w:bCs/>
          <w:sz w:val="26"/>
          <w:szCs w:val="26"/>
          <w:lang w:val="vi-VN"/>
        </w:rPr>
        <w:t>Thuận lợi</w:t>
      </w:r>
    </w:p>
    <w:p w14:paraId="20275A81" w14:textId="7CAFD061" w:rsidR="003F4A18" w:rsidRPr="008A3CFB" w:rsidRDefault="003F4A18" w:rsidP="003F4A18">
      <w:pPr>
        <w:widowControl w:val="0"/>
        <w:spacing w:before="60" w:after="60" w:line="26" w:lineRule="atLeast"/>
        <w:ind w:firstLine="720"/>
        <w:jc w:val="both"/>
        <w:rPr>
          <w:sz w:val="26"/>
          <w:szCs w:val="26"/>
          <w:lang w:val="vi-VN"/>
        </w:rPr>
      </w:pPr>
      <w:r w:rsidRPr="008A3CFB">
        <w:rPr>
          <w:sz w:val="26"/>
          <w:szCs w:val="26"/>
        </w:rPr>
        <w:t xml:space="preserve">- </w:t>
      </w:r>
      <w:r w:rsidRPr="008A3CFB">
        <w:rPr>
          <w:sz w:val="26"/>
          <w:szCs w:val="26"/>
          <w:lang w:val="vi-VN"/>
        </w:rPr>
        <w:t>Kế thừa truyền thống, vị thế và kinh nghiệm đào tạo Sư phạm hơn 6</w:t>
      </w:r>
      <w:r w:rsidR="006C18CF" w:rsidRPr="008A3CFB">
        <w:rPr>
          <w:sz w:val="26"/>
          <w:szCs w:val="26"/>
        </w:rPr>
        <w:t>4</w:t>
      </w:r>
      <w:r w:rsidRPr="008A3CFB">
        <w:rPr>
          <w:sz w:val="26"/>
          <w:szCs w:val="26"/>
          <w:lang w:val="vi-VN"/>
        </w:rPr>
        <w:t xml:space="preserve"> năm xây dựng và phát triển của Trường Đại học Vinh. Đội ngũ CBQL, giảng viên có chất lượng cao, được đào tạo bài bản ở nhiều cơ sở giáo dục uy tín trong nước và quốc tế. Mạng lưới cựu sinh viên của các ngành sư phạm trải rộng trên nhiều vùng miền, nhiều lĩnh vực khác nhau trên cả nước.</w:t>
      </w:r>
    </w:p>
    <w:p w14:paraId="20C7DAC9" w14:textId="77777777" w:rsidR="003F4A18" w:rsidRPr="008A3CFB" w:rsidRDefault="003F4A18" w:rsidP="003F4A18">
      <w:pPr>
        <w:widowControl w:val="0"/>
        <w:spacing w:before="60" w:after="60" w:line="26" w:lineRule="atLeast"/>
        <w:ind w:firstLine="720"/>
        <w:jc w:val="both"/>
        <w:rPr>
          <w:sz w:val="26"/>
          <w:szCs w:val="26"/>
          <w:lang w:val="vi-VN"/>
        </w:rPr>
      </w:pPr>
      <w:r w:rsidRPr="008A3CFB">
        <w:rPr>
          <w:sz w:val="26"/>
          <w:szCs w:val="26"/>
        </w:rPr>
        <w:t xml:space="preserve">- </w:t>
      </w:r>
      <w:r w:rsidRPr="008A3CFB">
        <w:rPr>
          <w:sz w:val="26"/>
          <w:szCs w:val="26"/>
          <w:lang w:val="vi-VN"/>
        </w:rPr>
        <w:t xml:space="preserve">CTĐT tiên tiến theo tiếp cận CDIO, được phát triển, cập nhật liên tục. Việc phát triển chương trình đào tạo đại học tiếp cận CDIO đã làm thay đổi cơ bản nhận thức của đội ngũ giảng viên.  </w:t>
      </w:r>
    </w:p>
    <w:p w14:paraId="2E211548" w14:textId="77777777" w:rsidR="003F4A18" w:rsidRPr="008A3CFB" w:rsidRDefault="003F4A18" w:rsidP="003F4A18">
      <w:pPr>
        <w:widowControl w:val="0"/>
        <w:spacing w:before="60" w:after="60" w:line="26" w:lineRule="atLeast"/>
        <w:ind w:firstLine="720"/>
        <w:jc w:val="both"/>
        <w:rPr>
          <w:sz w:val="26"/>
          <w:szCs w:val="26"/>
          <w:lang w:val="vi-VN"/>
        </w:rPr>
      </w:pPr>
      <w:r w:rsidRPr="008A3CFB">
        <w:rPr>
          <w:sz w:val="26"/>
          <w:szCs w:val="26"/>
        </w:rPr>
        <w:t xml:space="preserve">- </w:t>
      </w:r>
      <w:r w:rsidRPr="008A3CFB">
        <w:rPr>
          <w:sz w:val="26"/>
          <w:szCs w:val="26"/>
          <w:lang w:val="vi-VN"/>
        </w:rPr>
        <w:t>Được tham gia/thụ hưởng Chương trình ETEP nên năng lực giảng viên được nâng cao; giáo trình tài liệu phong phú, từng bước được số hoá.</w:t>
      </w:r>
    </w:p>
    <w:p w14:paraId="463A30D7" w14:textId="77777777" w:rsidR="003F4A18" w:rsidRPr="008A3CFB" w:rsidRDefault="003F4A18" w:rsidP="003F4A18">
      <w:pPr>
        <w:widowControl w:val="0"/>
        <w:spacing w:before="60" w:after="60" w:line="26" w:lineRule="atLeast"/>
        <w:ind w:firstLine="720"/>
        <w:jc w:val="both"/>
        <w:rPr>
          <w:sz w:val="26"/>
          <w:szCs w:val="26"/>
          <w:lang w:val="vi-VN"/>
        </w:rPr>
      </w:pPr>
      <w:r w:rsidRPr="008A3CFB">
        <w:rPr>
          <w:sz w:val="26"/>
          <w:szCs w:val="26"/>
        </w:rPr>
        <w:t xml:space="preserve">- </w:t>
      </w:r>
      <w:r w:rsidRPr="008A3CFB">
        <w:rPr>
          <w:sz w:val="26"/>
          <w:szCs w:val="26"/>
          <w:lang w:val="vi-VN"/>
        </w:rPr>
        <w:t>Môi trường đào tạo đa ngành, nhiều cấp học, bậc học nên có thể tận dụng các ưu thế, tạo cho người học nhiều năng lực, dễ thích ứng thế giới việc làm; nhiều cơ sở giáo dục vệ tinh giúp sinh viên có điều kiện trải nghiệm, rèn luyện kỹ năng sư phạm.</w:t>
      </w:r>
    </w:p>
    <w:p w14:paraId="41707F19" w14:textId="77777777" w:rsidR="003F4A18" w:rsidRPr="008A3CFB" w:rsidRDefault="003F4A18" w:rsidP="003F4A18">
      <w:pPr>
        <w:pStyle w:val="BodyText"/>
        <w:widowControl w:val="0"/>
        <w:spacing w:before="60" w:after="60" w:line="26" w:lineRule="atLeast"/>
        <w:ind w:firstLine="709"/>
        <w:rPr>
          <w:rFonts w:ascii="Times New Roman" w:hAnsi="Times New Roman"/>
          <w:b/>
          <w:bCs/>
          <w:sz w:val="26"/>
          <w:szCs w:val="26"/>
          <w:lang w:val="nl-NL"/>
        </w:rPr>
      </w:pPr>
      <w:r w:rsidRPr="008A3CFB">
        <w:rPr>
          <w:rFonts w:ascii="Times New Roman" w:hAnsi="Times New Roman"/>
          <w:sz w:val="26"/>
          <w:szCs w:val="26"/>
        </w:rPr>
        <w:t>-</w:t>
      </w:r>
      <w:r w:rsidRPr="008A3CFB">
        <w:rPr>
          <w:rFonts w:ascii="Times New Roman" w:hAnsi="Times New Roman"/>
          <w:sz w:val="26"/>
          <w:szCs w:val="26"/>
          <w:lang w:val="nl-NL"/>
        </w:rPr>
        <w:t xml:space="preserve"> Các mặt hoạt động của Trường Sư phạm được Đảng ủy, Hội đồng trường, Ban Giám hiệu Trường Đại học Vinh quan tâm chỉ đạo, tổ chức triển khai có hiệu quả, kịp thời đáp ứng yêu cầu phát triển trong giai đoạn mới. Viên chức, người lao động đoàn kết, nhất trí quyết tâm xây dựng Nhà trường vững mạnh.</w:t>
      </w:r>
    </w:p>
    <w:p w14:paraId="13C8B781" w14:textId="77777777" w:rsidR="003F4A18" w:rsidRPr="008A3CFB" w:rsidRDefault="003F4A18" w:rsidP="003F4A18">
      <w:pPr>
        <w:widowControl w:val="0"/>
        <w:spacing w:before="60" w:after="60" w:line="26" w:lineRule="atLeast"/>
        <w:ind w:firstLine="720"/>
        <w:jc w:val="both"/>
        <w:rPr>
          <w:b/>
          <w:bCs/>
          <w:sz w:val="26"/>
          <w:szCs w:val="26"/>
          <w:lang w:val="vi-VN"/>
        </w:rPr>
      </w:pPr>
      <w:r w:rsidRPr="008A3CFB">
        <w:rPr>
          <w:b/>
          <w:bCs/>
          <w:sz w:val="26"/>
          <w:szCs w:val="26"/>
          <w:lang w:val="vi-VN"/>
        </w:rPr>
        <w:t>Khó khăn</w:t>
      </w:r>
    </w:p>
    <w:p w14:paraId="1634860A" w14:textId="77777777" w:rsidR="003F4A18" w:rsidRPr="008A3CFB" w:rsidRDefault="003F4A18" w:rsidP="003F4A18">
      <w:pPr>
        <w:widowControl w:val="0"/>
        <w:spacing w:before="60" w:after="60" w:line="26" w:lineRule="atLeast"/>
        <w:ind w:firstLine="720"/>
        <w:jc w:val="both"/>
        <w:rPr>
          <w:sz w:val="26"/>
          <w:szCs w:val="26"/>
          <w:lang w:val="vi-VN"/>
        </w:rPr>
      </w:pPr>
      <w:r w:rsidRPr="008A3CFB">
        <w:rPr>
          <w:sz w:val="26"/>
          <w:szCs w:val="26"/>
        </w:rPr>
        <w:t xml:space="preserve">- </w:t>
      </w:r>
      <w:r w:rsidRPr="008A3CFB">
        <w:rPr>
          <w:sz w:val="26"/>
          <w:szCs w:val="26"/>
          <w:lang w:val="vi-VN"/>
        </w:rPr>
        <w:t>Tuyển sinh và đào tạo ngành sư phạm vẫn còn nhiều tồn tại do bất cập trong quy hoạch mạng lưới, tác động của tâm lý xã hội trong lựa chọn nghề nghiệp, đầu vào khó thu hút được sinh viên giỏi, đầu ra cho sinh viên tốt nghiệp vẫn còn nhiều khó khăn.</w:t>
      </w:r>
    </w:p>
    <w:p w14:paraId="7806ED9E" w14:textId="77777777" w:rsidR="003F4A18" w:rsidRPr="008A3CFB" w:rsidRDefault="003F4A18" w:rsidP="003F4A18">
      <w:pPr>
        <w:pStyle w:val="BodyText"/>
        <w:widowControl w:val="0"/>
        <w:spacing w:before="60" w:after="60" w:line="26" w:lineRule="atLeast"/>
        <w:ind w:firstLine="709"/>
        <w:rPr>
          <w:rFonts w:ascii="Times New Roman" w:hAnsi="Times New Roman"/>
          <w:b/>
          <w:bCs/>
          <w:sz w:val="26"/>
          <w:szCs w:val="26"/>
          <w:lang w:val="nl-NL"/>
        </w:rPr>
      </w:pPr>
      <w:r w:rsidRPr="008A3CFB">
        <w:rPr>
          <w:rFonts w:ascii="Times New Roman" w:hAnsi="Times New Roman"/>
          <w:sz w:val="26"/>
          <w:szCs w:val="26"/>
        </w:rPr>
        <w:t xml:space="preserve">- </w:t>
      </w:r>
      <w:r w:rsidRPr="008A3CFB">
        <w:rPr>
          <w:rFonts w:ascii="Times New Roman" w:hAnsi="Times New Roman"/>
          <w:sz w:val="26"/>
          <w:szCs w:val="26"/>
          <w:lang w:val="vi-VN"/>
        </w:rPr>
        <w:t xml:space="preserve">Tuyển sinh các hệ đào tạo không đồng đều, địa bàn tuyển sinh trải dài trên </w:t>
      </w:r>
      <w:r w:rsidRPr="008A3CFB">
        <w:rPr>
          <w:rFonts w:ascii="Times New Roman" w:hAnsi="Times New Roman"/>
          <w:sz w:val="26"/>
          <w:szCs w:val="26"/>
        </w:rPr>
        <w:t>35</w:t>
      </w:r>
      <w:r w:rsidRPr="008A3CFB">
        <w:rPr>
          <w:rFonts w:ascii="Times New Roman" w:hAnsi="Times New Roman"/>
          <w:sz w:val="26"/>
          <w:szCs w:val="26"/>
          <w:lang w:val="vi-VN"/>
        </w:rPr>
        <w:t xml:space="preserve"> tỉnh thành. </w:t>
      </w:r>
      <w:r w:rsidRPr="008A3CFB">
        <w:rPr>
          <w:rFonts w:ascii="Times New Roman" w:hAnsi="Times New Roman"/>
          <w:sz w:val="26"/>
          <w:szCs w:val="26"/>
          <w:lang w:val="nl-NL"/>
        </w:rPr>
        <w:t>Sự mất cân đối về quy mô giữa các ngành đào tạo ảnh hưởng đến việc phân phối lao động, chất lượng dạy học, hoạt động nghiên cứu khoa học (NCKH), điều kiện đảm bảo về chất lượng.</w:t>
      </w:r>
    </w:p>
    <w:p w14:paraId="3CD6CB3F" w14:textId="77777777" w:rsidR="003F4A18" w:rsidRPr="008A3CFB" w:rsidRDefault="003F4A18" w:rsidP="003F4A18">
      <w:pPr>
        <w:widowControl w:val="0"/>
        <w:spacing w:before="60" w:after="60" w:line="26" w:lineRule="atLeast"/>
        <w:ind w:firstLine="720"/>
        <w:jc w:val="both"/>
        <w:rPr>
          <w:sz w:val="26"/>
          <w:szCs w:val="26"/>
          <w:lang w:val="vi-VN"/>
        </w:rPr>
      </w:pPr>
      <w:r w:rsidRPr="008A3CFB">
        <w:rPr>
          <w:sz w:val="26"/>
          <w:szCs w:val="26"/>
        </w:rPr>
        <w:lastRenderedPageBreak/>
        <w:t xml:space="preserve">- </w:t>
      </w:r>
      <w:r w:rsidRPr="008A3CFB">
        <w:rPr>
          <w:sz w:val="26"/>
          <w:szCs w:val="26"/>
          <w:lang w:val="vi-VN"/>
        </w:rPr>
        <w:t>Cơ sở vật chất phục vụ cho các hoạt động đào tạo các ngành Sư phạm chưa xứng tầm với quy mô đào tạo. Không gian học tập cũng như môi trường sư phạm cho sinh viên đang còn hạn chế.</w:t>
      </w:r>
    </w:p>
    <w:p w14:paraId="17400BAD" w14:textId="77777777" w:rsidR="003F4A18" w:rsidRPr="008A3CFB" w:rsidRDefault="003F4A18" w:rsidP="003F4A18">
      <w:pPr>
        <w:widowControl w:val="0"/>
        <w:spacing w:before="60" w:after="60" w:line="26" w:lineRule="atLeast"/>
        <w:ind w:firstLine="720"/>
        <w:jc w:val="both"/>
        <w:rPr>
          <w:sz w:val="26"/>
          <w:szCs w:val="26"/>
          <w:lang w:val="vi-VN"/>
        </w:rPr>
      </w:pPr>
      <w:r w:rsidRPr="008A3CFB">
        <w:rPr>
          <w:sz w:val="26"/>
          <w:szCs w:val="26"/>
        </w:rPr>
        <w:t xml:space="preserve">- </w:t>
      </w:r>
      <w:r w:rsidRPr="008A3CFB">
        <w:rPr>
          <w:sz w:val="26"/>
          <w:szCs w:val="26"/>
          <w:lang w:val="vi-VN"/>
        </w:rPr>
        <w:t>Một bộ phận cán bộ, giảng viên vẫn còn tâm lý ngại đổi mới; cơ hội trao đổi học thuật, thực tế phổ thông còn nhiều bất cập; đời sống vật chất của giảng viên vẫn còn nhiều khó khăn, thu nhập chủ yếu từ lương. Công tác bồi dưỡng nâng cao trình độ ngoại ngữ, CNTT cho giảng viên và bồi dưỡng giảng viên tập sự chưa được đẩy mạnh. Công tác tuyển dụng giảng viên cho một số môn đặc thù (Âm nhạc, Mỹ thuật, Y tế học đường,...) chưa thu hút và lựa chọn được người có năng lực, đáp ứng yêu cầu công tác.</w:t>
      </w:r>
    </w:p>
    <w:p w14:paraId="75374311" w14:textId="77777777" w:rsidR="003F4A18" w:rsidRPr="008A3CFB" w:rsidRDefault="003F4A18" w:rsidP="003F4A18">
      <w:pPr>
        <w:widowControl w:val="0"/>
        <w:spacing w:before="60" w:after="60" w:line="26" w:lineRule="atLeast"/>
        <w:ind w:firstLine="720"/>
        <w:jc w:val="both"/>
        <w:rPr>
          <w:sz w:val="26"/>
          <w:szCs w:val="26"/>
          <w:lang w:val="vi-VN"/>
        </w:rPr>
      </w:pPr>
      <w:r w:rsidRPr="008A3CFB">
        <w:rPr>
          <w:sz w:val="26"/>
          <w:szCs w:val="26"/>
          <w:lang w:val="vi-VN"/>
        </w:rPr>
        <w:t xml:space="preserve">Khắc phụ khó khăn, phát huy lợi thế của đơn vị trong đào tạo, </w:t>
      </w:r>
      <w:r w:rsidRPr="008A3CFB">
        <w:rPr>
          <w:sz w:val="26"/>
          <w:szCs w:val="26"/>
        </w:rPr>
        <w:t>NCKH</w:t>
      </w:r>
      <w:r w:rsidRPr="008A3CFB">
        <w:rPr>
          <w:sz w:val="26"/>
          <w:szCs w:val="26"/>
          <w:lang w:val="vi-VN"/>
        </w:rPr>
        <w:t xml:space="preserve">, được sự quan tâm chỉ đạo của Đảng ủy, BGH nhà trường, sự phối hợp của các đơn vị, phòng ban chức năng; sự nỗ lực cố gắng của tập thể cán bộ, viên chức, các đơn vị thuộc Trường Sư phạm đã thực hiện tốt kế hoạch năm học với các kết quả đạt được như sau: </w:t>
      </w:r>
    </w:p>
    <w:p w14:paraId="6414E181" w14:textId="77777777" w:rsidR="003F4A18" w:rsidRPr="008A3CFB" w:rsidRDefault="003F4A18" w:rsidP="003F4A18">
      <w:pPr>
        <w:widowControl w:val="0"/>
        <w:spacing w:before="60" w:after="60" w:line="26" w:lineRule="atLeast"/>
        <w:jc w:val="both"/>
        <w:rPr>
          <w:sz w:val="26"/>
          <w:szCs w:val="26"/>
          <w:lang w:val="vi-VN"/>
        </w:rPr>
      </w:pPr>
      <w:r w:rsidRPr="008A3CFB">
        <w:rPr>
          <w:b/>
          <w:bCs/>
          <w:sz w:val="26"/>
          <w:szCs w:val="26"/>
        </w:rPr>
        <w:t>1</w:t>
      </w:r>
      <w:r w:rsidRPr="008A3CFB">
        <w:rPr>
          <w:b/>
          <w:bCs/>
          <w:sz w:val="26"/>
          <w:szCs w:val="26"/>
          <w:lang w:val="vi-VN"/>
        </w:rPr>
        <w:t>. Công tác chính trị tư tưởng</w:t>
      </w:r>
      <w:r w:rsidRPr="008A3CFB">
        <w:rPr>
          <w:b/>
          <w:bCs/>
          <w:sz w:val="26"/>
          <w:szCs w:val="26"/>
          <w:lang w:val="nl-NL"/>
        </w:rPr>
        <w:t>, truyền thông và cải cách hành chính</w:t>
      </w:r>
    </w:p>
    <w:p w14:paraId="101BF54C" w14:textId="7E28BCDE" w:rsidR="003F4A18" w:rsidRPr="008A3CFB" w:rsidRDefault="003F4A18" w:rsidP="003F4A18">
      <w:pPr>
        <w:pStyle w:val="BodyText"/>
        <w:widowControl w:val="0"/>
        <w:spacing w:before="60" w:after="60" w:line="26" w:lineRule="atLeast"/>
        <w:ind w:firstLine="709"/>
        <w:rPr>
          <w:rFonts w:ascii="Times New Roman" w:hAnsi="Times New Roman"/>
          <w:b/>
          <w:bCs/>
          <w:sz w:val="26"/>
          <w:szCs w:val="26"/>
          <w:lang w:val="vi-VN"/>
        </w:rPr>
      </w:pPr>
      <w:r w:rsidRPr="00921011">
        <w:rPr>
          <w:rFonts w:ascii="Times New Roman" w:hAnsi="Times New Roman"/>
          <w:iCs/>
          <w:sz w:val="26"/>
          <w:szCs w:val="26"/>
        </w:rPr>
        <w:t xml:space="preserve">- </w:t>
      </w:r>
      <w:r w:rsidRPr="00921011">
        <w:rPr>
          <w:rFonts w:ascii="Times New Roman" w:hAnsi="Times New Roman"/>
          <w:iCs/>
          <w:sz w:val="26"/>
          <w:szCs w:val="26"/>
          <w:lang w:val="vi-VN"/>
        </w:rPr>
        <w:t xml:space="preserve">Tiếp tục thực hiện Kết luận số 01-KL/TW của Bộ Chính trị khóa XIII về tiếp tục thực hiện Chỉ thị số 05-CT/TW và học tập chuyên đề năm 2022; </w:t>
      </w:r>
      <w:r w:rsidRPr="008A3CFB">
        <w:rPr>
          <w:rFonts w:ascii="Times New Roman" w:hAnsi="Times New Roman"/>
          <w:iCs/>
          <w:sz w:val="26"/>
          <w:szCs w:val="26"/>
          <w:lang w:val="vi-VN"/>
        </w:rPr>
        <w:t xml:space="preserve">ban hành kế hoạch triển khai sâu rộng trong học sinh, sinh viên Cuộc thi trực tuyến </w:t>
      </w:r>
      <w:r w:rsidRPr="008A3CFB">
        <w:rPr>
          <w:rFonts w:ascii="Times New Roman" w:hAnsi="Times New Roman"/>
          <w:i/>
          <w:sz w:val="26"/>
          <w:szCs w:val="26"/>
          <w:lang w:val="vi-VN"/>
        </w:rPr>
        <w:t>"Tuổi trẻ học tập và làm theo tư tưởng, đạo đức, phong cách Hồ Chí Minh"</w:t>
      </w:r>
      <w:r w:rsidRPr="008A3CFB">
        <w:rPr>
          <w:rFonts w:ascii="Times New Roman" w:hAnsi="Times New Roman"/>
          <w:iCs/>
          <w:sz w:val="26"/>
          <w:szCs w:val="26"/>
          <w:lang w:val="vi-VN"/>
        </w:rPr>
        <w:t xml:space="preserve"> năm 202</w:t>
      </w:r>
      <w:r w:rsidR="002364B5" w:rsidRPr="008A3CFB">
        <w:rPr>
          <w:rFonts w:ascii="Times New Roman" w:hAnsi="Times New Roman"/>
          <w:iCs/>
          <w:sz w:val="26"/>
          <w:szCs w:val="26"/>
        </w:rPr>
        <w:t>3</w:t>
      </w:r>
      <w:r w:rsidRPr="008A3CFB">
        <w:rPr>
          <w:rFonts w:ascii="Times New Roman" w:hAnsi="Times New Roman"/>
          <w:iCs/>
          <w:sz w:val="26"/>
          <w:szCs w:val="26"/>
          <w:lang w:val="vi-VN"/>
        </w:rPr>
        <w:t xml:space="preserve">; </w:t>
      </w:r>
      <w:r w:rsidRPr="00921011">
        <w:rPr>
          <w:rFonts w:ascii="Times New Roman" w:hAnsi="Times New Roman"/>
          <w:iCs/>
          <w:sz w:val="26"/>
          <w:szCs w:val="26"/>
        </w:rPr>
        <w:t xml:space="preserve">tiếp tục thực hiện </w:t>
      </w:r>
      <w:r w:rsidRPr="00921011">
        <w:rPr>
          <w:rFonts w:ascii="Times New Roman" w:hAnsi="Times New Roman"/>
          <w:sz w:val="26"/>
          <w:szCs w:val="26"/>
          <w:lang w:val="vi-VN"/>
        </w:rPr>
        <w:t xml:space="preserve">Nghị quyết Trung ương 4 (khóa XI) </w:t>
      </w:r>
      <w:r w:rsidRPr="00921011">
        <w:rPr>
          <w:rFonts w:ascii="Times New Roman" w:hAnsi="Times New Roman"/>
          <w:i/>
          <w:sz w:val="26"/>
          <w:szCs w:val="26"/>
          <w:lang w:val="vi-VN"/>
        </w:rPr>
        <w:t>"Một số vấn đề cấp bách về xây dựng Đảng hiện nay"</w:t>
      </w:r>
      <w:r w:rsidRPr="00921011">
        <w:rPr>
          <w:rFonts w:ascii="Times New Roman" w:hAnsi="Times New Roman"/>
          <w:sz w:val="26"/>
          <w:szCs w:val="26"/>
          <w:lang w:val="vi-VN"/>
        </w:rPr>
        <w:t xml:space="preserve">, Nghị quyết Trung ương 4 (khóa XII) về tăng cường xây dựng, chỉnh đốn Đảng; ngăn chặn, đẩy lùi sự suy thoái về tư tưởng chính trị, đạo đức, lối sống, những biểu hiện </w:t>
      </w:r>
      <w:r w:rsidRPr="00921011">
        <w:rPr>
          <w:rFonts w:ascii="Times New Roman" w:hAnsi="Times New Roman"/>
          <w:i/>
          <w:iCs/>
          <w:sz w:val="26"/>
          <w:szCs w:val="26"/>
          <w:lang w:val="vi-VN"/>
        </w:rPr>
        <w:t>"tự diễn biến", "tự chuyển hóa"</w:t>
      </w:r>
      <w:r w:rsidRPr="00921011">
        <w:rPr>
          <w:rFonts w:ascii="Times New Roman" w:hAnsi="Times New Roman"/>
          <w:sz w:val="26"/>
          <w:szCs w:val="26"/>
          <w:lang w:val="vi-VN"/>
        </w:rPr>
        <w:t xml:space="preserve"> trong nội bộ;</w:t>
      </w:r>
      <w:r w:rsidRPr="008A3CFB">
        <w:rPr>
          <w:rFonts w:ascii="Times New Roman" w:hAnsi="Times New Roman"/>
          <w:sz w:val="26"/>
          <w:szCs w:val="26"/>
        </w:rPr>
        <w:t xml:space="preserve"> </w:t>
      </w:r>
      <w:r w:rsidRPr="00921011">
        <w:rPr>
          <w:rFonts w:ascii="Times New Roman" w:hAnsi="Times New Roman"/>
          <w:sz w:val="26"/>
          <w:szCs w:val="26"/>
          <w:lang w:val="vi-VN"/>
        </w:rPr>
        <w:t xml:space="preserve">Đề án số 07-ĐA/TU của Ban Thường vụ Tỉnh uỷ về </w:t>
      </w:r>
      <w:r w:rsidRPr="00921011">
        <w:rPr>
          <w:rFonts w:ascii="Times New Roman" w:hAnsi="Times New Roman"/>
          <w:iCs/>
          <w:sz w:val="26"/>
          <w:szCs w:val="26"/>
          <w:lang w:val="vi-VN"/>
        </w:rPr>
        <w:t>"Nâng cao tính gương mẫu, chống tư tưởng bảo thủ, trông chờ, ỷ lại trong cán bộ, đảng viên"</w:t>
      </w:r>
      <w:r w:rsidRPr="00921011">
        <w:rPr>
          <w:rFonts w:ascii="Times New Roman" w:hAnsi="Times New Roman"/>
          <w:i/>
          <w:sz w:val="26"/>
          <w:szCs w:val="26"/>
          <w:lang w:val="vi-VN"/>
        </w:rPr>
        <w:t xml:space="preserve"> </w:t>
      </w:r>
      <w:r w:rsidRPr="00921011">
        <w:rPr>
          <w:rFonts w:ascii="Times New Roman" w:hAnsi="Times New Roman"/>
          <w:sz w:val="26"/>
          <w:szCs w:val="26"/>
          <w:lang w:val="vi-VN"/>
        </w:rPr>
        <w:t>và Chỉ thị số 1</w:t>
      </w:r>
      <w:r w:rsidRPr="00921011">
        <w:rPr>
          <w:rFonts w:ascii="Times New Roman" w:hAnsi="Times New Roman"/>
          <w:sz w:val="26"/>
          <w:szCs w:val="26"/>
          <w:lang w:val="da-DK"/>
        </w:rPr>
        <w:t>7</w:t>
      </w:r>
      <w:r w:rsidRPr="00921011">
        <w:rPr>
          <w:rFonts w:ascii="Times New Roman" w:hAnsi="Times New Roman"/>
          <w:sz w:val="26"/>
          <w:szCs w:val="26"/>
          <w:lang w:val="vi-VN"/>
        </w:rPr>
        <w:t>-CT/</w:t>
      </w:r>
      <w:r w:rsidRPr="00921011">
        <w:rPr>
          <w:rFonts w:ascii="Times New Roman" w:hAnsi="Times New Roman"/>
          <w:sz w:val="26"/>
          <w:szCs w:val="26"/>
          <w:lang w:val="da-DK"/>
        </w:rPr>
        <w:t>TU</w:t>
      </w:r>
      <w:r w:rsidRPr="00921011">
        <w:rPr>
          <w:rFonts w:ascii="Times New Roman" w:hAnsi="Times New Roman"/>
          <w:sz w:val="26"/>
          <w:szCs w:val="26"/>
          <w:lang w:val="vi-VN"/>
        </w:rPr>
        <w:t xml:space="preserve"> </w:t>
      </w:r>
      <w:r w:rsidRPr="00921011">
        <w:rPr>
          <w:rFonts w:ascii="Times New Roman" w:hAnsi="Times New Roman"/>
          <w:sz w:val="26"/>
          <w:szCs w:val="26"/>
          <w:lang w:val="nb-NO"/>
        </w:rPr>
        <w:t xml:space="preserve">ngày 03/12/2013 </w:t>
      </w:r>
      <w:r w:rsidRPr="00921011">
        <w:rPr>
          <w:rFonts w:ascii="Times New Roman" w:hAnsi="Times New Roman"/>
          <w:sz w:val="26"/>
          <w:szCs w:val="26"/>
          <w:lang w:val="vi-VN"/>
        </w:rPr>
        <w:t xml:space="preserve">của Ban Thường vụ </w:t>
      </w:r>
      <w:r w:rsidRPr="00921011">
        <w:rPr>
          <w:rFonts w:ascii="Times New Roman" w:hAnsi="Times New Roman"/>
          <w:sz w:val="26"/>
          <w:szCs w:val="26"/>
          <w:lang w:val="da-DK"/>
        </w:rPr>
        <w:t>Tỉnh ủy</w:t>
      </w:r>
      <w:r w:rsidRPr="00921011">
        <w:rPr>
          <w:rFonts w:ascii="Times New Roman" w:hAnsi="Times New Roman"/>
          <w:sz w:val="26"/>
          <w:szCs w:val="26"/>
          <w:lang w:val="vi-VN"/>
        </w:rPr>
        <w:t xml:space="preserve"> về tăng cư</w:t>
      </w:r>
      <w:r w:rsidRPr="00921011">
        <w:rPr>
          <w:rFonts w:ascii="Times New Roman" w:hAnsi="Times New Roman"/>
          <w:sz w:val="26"/>
          <w:szCs w:val="26"/>
          <w:lang w:val="nb-NO"/>
        </w:rPr>
        <w:t>ờ</w:t>
      </w:r>
      <w:r w:rsidRPr="00921011">
        <w:rPr>
          <w:rFonts w:ascii="Times New Roman" w:hAnsi="Times New Roman"/>
          <w:sz w:val="26"/>
          <w:szCs w:val="26"/>
          <w:lang w:val="vi-VN"/>
        </w:rPr>
        <w:t>ng kỷ luật, kỷ cương hành chính trong các tổ chức đảng</w:t>
      </w:r>
      <w:r w:rsidRPr="008A3CFB">
        <w:rPr>
          <w:rFonts w:ascii="Times New Roman" w:hAnsi="Times New Roman"/>
          <w:sz w:val="26"/>
          <w:szCs w:val="26"/>
          <w:lang w:val="vi-VN"/>
        </w:rPr>
        <w:t>,</w:t>
      </w:r>
      <w:r w:rsidRPr="008A3CFB">
        <w:rPr>
          <w:rFonts w:ascii="Times New Roman" w:hAnsi="Times New Roman"/>
          <w:sz w:val="26"/>
          <w:szCs w:val="26"/>
          <w:lang w:val="da-DK"/>
        </w:rPr>
        <w:t xml:space="preserve"> cơ quan,</w:t>
      </w:r>
      <w:r w:rsidRPr="008A3CFB">
        <w:rPr>
          <w:rFonts w:ascii="Times New Roman" w:hAnsi="Times New Roman"/>
          <w:sz w:val="26"/>
          <w:szCs w:val="26"/>
          <w:lang w:val="vi-VN"/>
        </w:rPr>
        <w:t xml:space="preserve"> đơn vị</w:t>
      </w:r>
      <w:r w:rsidRPr="008A3CFB">
        <w:rPr>
          <w:rFonts w:ascii="Times New Roman" w:hAnsi="Times New Roman"/>
          <w:sz w:val="26"/>
          <w:szCs w:val="26"/>
        </w:rPr>
        <w:t>; góp phần</w:t>
      </w:r>
      <w:r w:rsidRPr="008A3CFB">
        <w:rPr>
          <w:rFonts w:ascii="Times New Roman" w:hAnsi="Times New Roman"/>
          <w:sz w:val="26"/>
          <w:szCs w:val="26"/>
          <w:lang w:val="vi-VN"/>
        </w:rPr>
        <w:t xml:space="preserve"> nâng cao nhận thức, củng cố niềm tin của cán bộ, đảng viên và các tầng lớp nhân dân vào sự lãnh đạo của Đảng, góp phần tạo sự thống nhất ý chí và hành động trong Đảng, sự đồng thuận trong cán bộ, học sinh, sinh viên, học viên toàn Trường.</w:t>
      </w:r>
    </w:p>
    <w:p w14:paraId="1B9E1983" w14:textId="032C80CB" w:rsidR="003F4A18" w:rsidRPr="008A3CFB" w:rsidRDefault="003F4A18" w:rsidP="003F4A18">
      <w:pPr>
        <w:widowControl w:val="0"/>
        <w:spacing w:before="60" w:after="60" w:line="26" w:lineRule="atLeast"/>
        <w:ind w:firstLine="709"/>
        <w:jc w:val="both"/>
        <w:rPr>
          <w:sz w:val="26"/>
          <w:szCs w:val="26"/>
        </w:rPr>
      </w:pPr>
      <w:r w:rsidRPr="008A3CFB">
        <w:rPr>
          <w:sz w:val="26"/>
          <w:szCs w:val="26"/>
        </w:rPr>
        <w:t xml:space="preserve">- </w:t>
      </w:r>
      <w:r w:rsidRPr="008A3CFB">
        <w:rPr>
          <w:sz w:val="26"/>
          <w:szCs w:val="26"/>
          <w:lang w:val="vi-VN"/>
        </w:rPr>
        <w:t>Tiếp tục tổ chức thực hiện Nghị quyết số 29-NQ/TW của Ban Chấp hành Trung ương Đảng (khoá XI) về đổi mới căn bản, toàn diện giáo dục và đào tạo; Kết luận số 51-KL/TW ngày 30/5/2019 của Ban Bí thư Trung ương Đảng về tiếp tục thực hiện nghị quyết Hội nghị Trung ương 8 khóa XI về đổi mới căn bản, toàn diện giáo dục và đào tạo đáp ứng yêu cầu công nghiệp hóa, hiện đại hóa trong điều kiện kinh tế thị trường định hướng xã hội chủ nghĩa và hội nhập quốc tế;</w:t>
      </w:r>
      <w:r w:rsidRPr="00921011">
        <w:rPr>
          <w:sz w:val="26"/>
          <w:szCs w:val="26"/>
          <w:lang w:val="vi-VN"/>
        </w:rPr>
        <w:t xml:space="preserve"> </w:t>
      </w:r>
      <w:r w:rsidR="00522D98" w:rsidRPr="008A3CFB">
        <w:rPr>
          <w:sz w:val="26"/>
          <w:szCs w:val="26"/>
        </w:rPr>
        <w:t>T</w:t>
      </w:r>
      <w:r w:rsidR="00027486" w:rsidRPr="008A3CFB">
        <w:rPr>
          <w:sz w:val="26"/>
          <w:szCs w:val="26"/>
        </w:rPr>
        <w:t>iếp tục chỉ đạo phong trào thi đua “ Đổi mới sáng tạo trong quản lý</w:t>
      </w:r>
      <w:r w:rsidR="00522D98" w:rsidRPr="008A3CFB">
        <w:rPr>
          <w:sz w:val="26"/>
          <w:szCs w:val="26"/>
        </w:rPr>
        <w:t>, giảng dạy và học tập” do Bộ Giáo dục và Đào tạo phát động;</w:t>
      </w:r>
      <w:r w:rsidR="00522D98" w:rsidRPr="00921011">
        <w:rPr>
          <w:sz w:val="26"/>
          <w:szCs w:val="26"/>
        </w:rPr>
        <w:t xml:space="preserve"> </w:t>
      </w:r>
      <w:r w:rsidRPr="008A3CFB">
        <w:rPr>
          <w:sz w:val="26"/>
          <w:szCs w:val="26"/>
          <w:lang w:val="vi-VN"/>
        </w:rPr>
        <w:t>Thông báo số 55-TB/TW ngày 20/4/2019 của Bộ Chính trị về sơ kết 5 năm thực hiện Nghị quyết số 26-NQ/TW của Bộ Chính trị khóa XI về phương hướng, nhiệm vụ phát triển tỉnh Nghệ An đến năm 2020; Nghị quyết số 19-NQ/TW ngày 25/10/2017 của Ban Chấp hành Trung ương Đảng về tiếp tục đổi mới hệ thống tổ chức và quản lý, nâng cao chất lượng và hiệu quả hoạt động của các đơn vị sự nghiệp công lập</w:t>
      </w:r>
      <w:r w:rsidRPr="008A3CFB">
        <w:rPr>
          <w:sz w:val="26"/>
          <w:szCs w:val="26"/>
        </w:rPr>
        <w:t>.</w:t>
      </w:r>
    </w:p>
    <w:p w14:paraId="1B457336" w14:textId="77777777" w:rsidR="003F4A18" w:rsidRPr="008A3CFB" w:rsidRDefault="003F4A18" w:rsidP="003F4A18">
      <w:pPr>
        <w:pStyle w:val="NormalWeb"/>
        <w:widowControl w:val="0"/>
        <w:shd w:val="clear" w:color="auto" w:fill="FFFFFF"/>
        <w:spacing w:before="60" w:beforeAutospacing="0" w:after="60" w:afterAutospacing="0" w:line="26" w:lineRule="atLeast"/>
        <w:ind w:firstLine="720"/>
        <w:jc w:val="both"/>
        <w:rPr>
          <w:sz w:val="26"/>
          <w:szCs w:val="26"/>
          <w:lang w:val="nl-NL"/>
        </w:rPr>
      </w:pPr>
      <w:r w:rsidRPr="008A3CFB">
        <w:rPr>
          <w:sz w:val="26"/>
          <w:szCs w:val="26"/>
          <w:lang w:val="nl-NL"/>
        </w:rPr>
        <w:t>- Công tác cải cách hành chính tiếp tục có chuyển biến và đạt hiệu quả tốt đã thực hiện số hóa nhiều quy trình, quy định để thực hiện nhanh gọn các thủ tục hành chính, tạo điều kiện thuận lợi cho viên chức, người lao động, sinh viên, học viên và khách đến làm việc.</w:t>
      </w:r>
    </w:p>
    <w:p w14:paraId="52619012" w14:textId="326C0E4D" w:rsidR="003F4A18" w:rsidRPr="008A3CFB" w:rsidRDefault="003F4A18" w:rsidP="003F4A18">
      <w:pPr>
        <w:widowControl w:val="0"/>
        <w:spacing w:before="60" w:after="60" w:line="26" w:lineRule="atLeast"/>
        <w:ind w:firstLine="709"/>
        <w:jc w:val="both"/>
        <w:rPr>
          <w:sz w:val="26"/>
          <w:szCs w:val="26"/>
          <w:lang w:val="nl-NL"/>
        </w:rPr>
      </w:pPr>
      <w:r w:rsidRPr="008A3CFB">
        <w:rPr>
          <w:sz w:val="26"/>
          <w:szCs w:val="26"/>
          <w:lang w:val="nl-NL"/>
        </w:rPr>
        <w:t xml:space="preserve">- Đã tích cực làm tốt công tác thông tin, truyền thông trên website và các mạng xã hội; quảng bá </w:t>
      </w:r>
      <w:r w:rsidR="00D73881" w:rsidRPr="008A3CFB">
        <w:rPr>
          <w:sz w:val="26"/>
          <w:szCs w:val="26"/>
          <w:lang w:val="nl-NL"/>
        </w:rPr>
        <w:t>và viết</w:t>
      </w:r>
      <w:r w:rsidRPr="008A3CFB">
        <w:rPr>
          <w:sz w:val="26"/>
          <w:szCs w:val="26"/>
          <w:lang w:val="nl-NL"/>
        </w:rPr>
        <w:t xml:space="preserve"> bài viết, hình ảnh về các hoạt động của Trường; đăng nhiều hình ảnh, </w:t>
      </w:r>
      <w:r w:rsidRPr="008A3CFB">
        <w:rPr>
          <w:sz w:val="26"/>
          <w:szCs w:val="26"/>
          <w:lang w:val="nl-NL"/>
        </w:rPr>
        <w:lastRenderedPageBreak/>
        <w:t>video clip, infographic, các gương học sinh, sinh viên, cựu sinh viên tiêu biểu...; tuyên truyền nhiều chủ trương, chính sách của Nhà trường.</w:t>
      </w:r>
    </w:p>
    <w:p w14:paraId="5CF36098" w14:textId="77777777" w:rsidR="003F4A18" w:rsidRPr="008A3CFB" w:rsidRDefault="003F4A18" w:rsidP="003F4A18">
      <w:pPr>
        <w:widowControl w:val="0"/>
        <w:shd w:val="clear" w:color="auto" w:fill="FFFFFF"/>
        <w:spacing w:before="60" w:after="60" w:line="26" w:lineRule="atLeast"/>
        <w:jc w:val="both"/>
        <w:rPr>
          <w:b/>
          <w:bCs/>
          <w:sz w:val="26"/>
          <w:szCs w:val="26"/>
        </w:rPr>
      </w:pPr>
      <w:r w:rsidRPr="008A3CFB">
        <w:rPr>
          <w:b/>
          <w:bCs/>
          <w:sz w:val="26"/>
          <w:szCs w:val="26"/>
        </w:rPr>
        <w:t>2. Công tác tuyển sinh</w:t>
      </w:r>
    </w:p>
    <w:p w14:paraId="7FCD8553" w14:textId="0896B199" w:rsidR="003F4A18" w:rsidRPr="008A3CFB" w:rsidRDefault="003F4A18" w:rsidP="003F4A18">
      <w:pPr>
        <w:widowControl w:val="0"/>
        <w:spacing w:before="60" w:after="60" w:line="26" w:lineRule="atLeast"/>
        <w:ind w:firstLine="720"/>
        <w:jc w:val="both"/>
        <w:rPr>
          <w:rFonts w:eastAsia="Calibri"/>
          <w:sz w:val="26"/>
          <w:szCs w:val="26"/>
          <w:bdr w:val="none" w:sz="0" w:space="0" w:color="auto" w:frame="1"/>
        </w:rPr>
      </w:pPr>
      <w:r w:rsidRPr="008A3CFB">
        <w:rPr>
          <w:rFonts w:eastAsia="Calibri"/>
          <w:sz w:val="26"/>
          <w:szCs w:val="26"/>
          <w:bdr w:val="none" w:sz="0" w:space="0" w:color="auto" w:frame="1"/>
        </w:rPr>
        <w:t xml:space="preserve">- </w:t>
      </w:r>
      <w:r w:rsidRPr="008A3CFB">
        <w:rPr>
          <w:rFonts w:eastAsia="Calibri"/>
          <w:sz w:val="26"/>
          <w:szCs w:val="26"/>
          <w:bdr w:val="none" w:sz="0" w:space="0" w:color="auto" w:frame="1"/>
          <w:lang w:val="vi-VN"/>
        </w:rPr>
        <w:t xml:space="preserve">Xác định công tác tuyển sinh là nhiệm vụ chính trị quan trọng của Trường nên các đơn vị đã xây dựng kế hoạch hoạt động, phân công cụ thể cho </w:t>
      </w:r>
      <w:r w:rsidRPr="008A3CFB">
        <w:rPr>
          <w:rFonts w:eastAsia="Calibri"/>
          <w:sz w:val="26"/>
          <w:szCs w:val="26"/>
          <w:bdr w:val="none" w:sz="0" w:space="0" w:color="auto" w:frame="1"/>
        </w:rPr>
        <w:t>BCN khoa</w:t>
      </w:r>
      <w:r w:rsidRPr="008A3CFB">
        <w:rPr>
          <w:rFonts w:eastAsia="Calibri"/>
          <w:sz w:val="26"/>
          <w:szCs w:val="26"/>
          <w:bdr w:val="none" w:sz="0" w:space="0" w:color="auto" w:frame="1"/>
          <w:lang w:val="vi-VN"/>
        </w:rPr>
        <w:t xml:space="preserve">, Ban truyền thông và huy động toàn thể cán bộ, giảng viên </w:t>
      </w:r>
      <w:r w:rsidRPr="008A3CFB">
        <w:rPr>
          <w:rFonts w:eastAsia="Calibri"/>
          <w:sz w:val="26"/>
          <w:szCs w:val="26"/>
          <w:bdr w:val="none" w:sz="0" w:space="0" w:color="auto" w:frame="1"/>
        </w:rPr>
        <w:t>tham gia</w:t>
      </w:r>
      <w:r w:rsidRPr="008A3CFB">
        <w:rPr>
          <w:rFonts w:eastAsia="Calibri"/>
          <w:sz w:val="26"/>
          <w:szCs w:val="26"/>
          <w:bdr w:val="none" w:sz="0" w:space="0" w:color="auto" w:frame="1"/>
          <w:lang w:val="vi-VN"/>
        </w:rPr>
        <w:t>. C</w:t>
      </w:r>
      <w:r w:rsidRPr="008A3CFB">
        <w:rPr>
          <w:bCs/>
          <w:iCs/>
          <w:spacing w:val="-2"/>
          <w:sz w:val="26"/>
          <w:szCs w:val="26"/>
          <w:lang w:val="vi-VN"/>
        </w:rPr>
        <w:t xml:space="preserve">ông tác quảng bá tuyển sinh được đẩy mạnh trên tất cả các bậc, các hệ đào tạo bao gồm tuyển sinh </w:t>
      </w:r>
      <w:r w:rsidR="00086AD5" w:rsidRPr="008A3CFB">
        <w:rPr>
          <w:bCs/>
          <w:iCs/>
          <w:spacing w:val="-2"/>
          <w:sz w:val="26"/>
          <w:szCs w:val="26"/>
        </w:rPr>
        <w:t>n</w:t>
      </w:r>
      <w:r w:rsidR="00760A4A" w:rsidRPr="008A3CFB">
        <w:rPr>
          <w:bCs/>
          <w:iCs/>
          <w:spacing w:val="-2"/>
          <w:sz w:val="26"/>
          <w:szCs w:val="26"/>
        </w:rPr>
        <w:t>ghiên cứu sinh</w:t>
      </w:r>
      <w:r w:rsidR="00086AD5" w:rsidRPr="008A3CFB">
        <w:rPr>
          <w:bCs/>
          <w:iCs/>
          <w:spacing w:val="-2"/>
          <w:sz w:val="26"/>
          <w:szCs w:val="26"/>
        </w:rPr>
        <w:t xml:space="preserve">, </w:t>
      </w:r>
      <w:r w:rsidR="00086AD5" w:rsidRPr="008A3CFB">
        <w:rPr>
          <w:bCs/>
          <w:iCs/>
          <w:spacing w:val="-2"/>
          <w:sz w:val="26"/>
          <w:szCs w:val="26"/>
          <w:lang w:val="vi-VN"/>
        </w:rPr>
        <w:t>sau đại học</w:t>
      </w:r>
      <w:r w:rsidR="00086AD5" w:rsidRPr="008A3CFB">
        <w:rPr>
          <w:bCs/>
          <w:iCs/>
          <w:spacing w:val="-2"/>
          <w:sz w:val="26"/>
          <w:szCs w:val="26"/>
        </w:rPr>
        <w:t>,</w:t>
      </w:r>
      <w:r w:rsidR="00086AD5" w:rsidRPr="008A3CFB">
        <w:rPr>
          <w:bCs/>
          <w:iCs/>
          <w:spacing w:val="-2"/>
          <w:sz w:val="26"/>
          <w:szCs w:val="26"/>
          <w:lang w:val="vi-VN"/>
        </w:rPr>
        <w:t xml:space="preserve"> </w:t>
      </w:r>
      <w:r w:rsidRPr="008A3CFB">
        <w:rPr>
          <w:bCs/>
          <w:iCs/>
          <w:spacing w:val="-2"/>
          <w:sz w:val="26"/>
          <w:szCs w:val="26"/>
          <w:lang w:val="vi-VN"/>
        </w:rPr>
        <w:t xml:space="preserve">đại học, </w:t>
      </w:r>
      <w:r w:rsidR="00086AD5" w:rsidRPr="008A3CFB">
        <w:rPr>
          <w:bCs/>
          <w:iCs/>
          <w:spacing w:val="-2"/>
          <w:sz w:val="26"/>
          <w:szCs w:val="26"/>
        </w:rPr>
        <w:t>nâng chuẩn sư phạm</w:t>
      </w:r>
      <w:r w:rsidRPr="008A3CFB">
        <w:rPr>
          <w:bCs/>
          <w:iCs/>
          <w:spacing w:val="-2"/>
          <w:sz w:val="26"/>
          <w:szCs w:val="26"/>
          <w:lang w:val="vi-VN"/>
        </w:rPr>
        <w:t>. Các đơn vị cũng làm việc với các Sở Giáo dục và Đào tạo Nghệ An, Hà Tĩnh, Thanh Hóa</w:t>
      </w:r>
      <w:r w:rsidRPr="008A3CFB">
        <w:rPr>
          <w:bCs/>
          <w:iCs/>
          <w:spacing w:val="-2"/>
          <w:sz w:val="26"/>
          <w:szCs w:val="26"/>
          <w:lang w:val="en-GB"/>
        </w:rPr>
        <w:t>,</w:t>
      </w:r>
      <w:r w:rsidR="00086AD5" w:rsidRPr="008A3CFB">
        <w:rPr>
          <w:bCs/>
          <w:iCs/>
          <w:spacing w:val="-2"/>
          <w:sz w:val="26"/>
          <w:szCs w:val="26"/>
          <w:lang w:val="en-GB"/>
        </w:rPr>
        <w:t xml:space="preserve"> Quảng trị </w:t>
      </w:r>
      <w:r w:rsidRPr="008A3CFB">
        <w:rPr>
          <w:bCs/>
          <w:iCs/>
          <w:spacing w:val="-2"/>
          <w:sz w:val="26"/>
          <w:szCs w:val="26"/>
          <w:lang w:val="vi-VN"/>
        </w:rPr>
        <w:t>… cũng như thông qua các kênh là cựu học viên, sinh viên để khảo sát được nhu cầu của người học; đồng thời mở rộng địa bàn tuyển sinh đến miền Đông Nam bộ, Tây Nguyên</w:t>
      </w:r>
      <w:r w:rsidRPr="008A3CFB">
        <w:rPr>
          <w:bCs/>
          <w:iCs/>
          <w:spacing w:val="-2"/>
          <w:sz w:val="26"/>
          <w:szCs w:val="26"/>
        </w:rPr>
        <w:t>, Tây Bắc.</w:t>
      </w:r>
    </w:p>
    <w:p w14:paraId="0A80C6C1" w14:textId="77777777" w:rsidR="003F4A18" w:rsidRPr="008A3CFB" w:rsidRDefault="003F4A18" w:rsidP="003F4A18">
      <w:pPr>
        <w:widowControl w:val="0"/>
        <w:spacing w:before="60" w:after="60" w:line="26" w:lineRule="atLeast"/>
        <w:ind w:firstLine="720"/>
        <w:jc w:val="both"/>
        <w:rPr>
          <w:bCs/>
          <w:iCs/>
          <w:spacing w:val="-2"/>
          <w:sz w:val="26"/>
          <w:szCs w:val="26"/>
          <w:lang w:val="vi-VN"/>
        </w:rPr>
      </w:pPr>
      <w:r w:rsidRPr="008A3CFB">
        <w:rPr>
          <w:rFonts w:eastAsia="Calibri"/>
          <w:sz w:val="26"/>
          <w:szCs w:val="26"/>
          <w:bdr w:val="none" w:sz="0" w:space="0" w:color="auto" w:frame="1"/>
        </w:rPr>
        <w:t xml:space="preserve">- </w:t>
      </w:r>
      <w:r w:rsidRPr="008A3CFB">
        <w:rPr>
          <w:rFonts w:eastAsia="Calibri"/>
          <w:sz w:val="26"/>
          <w:szCs w:val="26"/>
          <w:bdr w:val="none" w:sz="0" w:space="0" w:color="auto" w:frame="1"/>
          <w:lang w:val="vi-VN"/>
        </w:rPr>
        <w:t xml:space="preserve">Ban Truyền thông các đơn vị đã triển khai nhiều hình thức quảng bá tuyển sinh: thành lập tổ tư vấn tuyển sinh trực tuyến, quảng bá hình ảnh qua thông qua Subweb, mạng xã hội; sinh viên đang học tập tại trường, cựu sinh viên. Các đơn vị đã xây dựng nhiều clip quảng bá tuyển sinh giới thiệu về các ngành đào tạo; thực hiện livestream tư vấn tuyển sinh thu hút hàng nghìn lượt chia sẻ, theo dõi; thường xuyên cập nhật thông tin, tương tác với thí sinh và người nhà thí sinh qua hộp thư tuyển sinh trực tuyến; </w:t>
      </w:r>
      <w:r w:rsidRPr="008A3CFB">
        <w:rPr>
          <w:bCs/>
          <w:iCs/>
          <w:spacing w:val="-2"/>
          <w:sz w:val="26"/>
          <w:szCs w:val="26"/>
          <w:lang w:val="vi-VN"/>
        </w:rPr>
        <w:t>quảng bá tuyển sinh thông qua kênh các học viên cao học, học viên bồi dưỡng chức danh nghề nghiệp, học viên bồi dưỡng chương trình giáo dục phổ thông mới.</w:t>
      </w:r>
    </w:p>
    <w:p w14:paraId="0955887F" w14:textId="77777777" w:rsidR="003F4A18" w:rsidRPr="008A3CFB" w:rsidRDefault="003F4A18" w:rsidP="003F4A18">
      <w:pPr>
        <w:widowControl w:val="0"/>
        <w:spacing w:before="60" w:after="60" w:line="26" w:lineRule="atLeast"/>
        <w:ind w:firstLine="720"/>
        <w:jc w:val="both"/>
        <w:rPr>
          <w:rFonts w:eastAsia="Calibri"/>
          <w:sz w:val="26"/>
          <w:szCs w:val="26"/>
          <w:bdr w:val="none" w:sz="0" w:space="0" w:color="auto" w:frame="1"/>
          <w:lang w:val="vi-VN"/>
        </w:rPr>
      </w:pPr>
    </w:p>
    <w:p w14:paraId="31623453" w14:textId="4D26FB2B" w:rsidR="003F4A18" w:rsidRPr="008A3CFB" w:rsidRDefault="003F4A18" w:rsidP="003F4A18">
      <w:pPr>
        <w:widowControl w:val="0"/>
        <w:spacing w:before="60" w:after="120" w:line="26" w:lineRule="atLeast"/>
        <w:ind w:firstLine="706"/>
        <w:jc w:val="both"/>
        <w:rPr>
          <w:sz w:val="26"/>
          <w:szCs w:val="26"/>
          <w:lang w:val="nl-NL"/>
        </w:rPr>
      </w:pPr>
      <w:r w:rsidRPr="008A3CFB">
        <w:rPr>
          <w:sz w:val="26"/>
          <w:szCs w:val="26"/>
          <w:lang w:val="nl-NL"/>
        </w:rPr>
        <w:t>Kết quả tuyển sinh năm 202</w:t>
      </w:r>
      <w:r w:rsidR="00086AD5" w:rsidRPr="008A3CFB">
        <w:rPr>
          <w:sz w:val="26"/>
          <w:szCs w:val="26"/>
          <w:lang w:val="nl-NL"/>
        </w:rPr>
        <w:t>3</w:t>
      </w:r>
      <w:r w:rsidRPr="008A3CFB">
        <w:rPr>
          <w:sz w:val="26"/>
          <w:szCs w:val="26"/>
          <w:lang w:val="nl-NL"/>
        </w:rPr>
        <w:t>:</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2750"/>
        <w:gridCol w:w="1842"/>
        <w:gridCol w:w="1843"/>
        <w:gridCol w:w="2234"/>
      </w:tblGrid>
      <w:tr w:rsidR="008A3CFB" w:rsidRPr="008A3CFB" w14:paraId="7F250E59" w14:textId="77777777" w:rsidTr="00277346">
        <w:trPr>
          <w:jc w:val="center"/>
        </w:trPr>
        <w:tc>
          <w:tcPr>
            <w:tcW w:w="619" w:type="dxa"/>
            <w:shd w:val="clear" w:color="auto" w:fill="auto"/>
            <w:vAlign w:val="center"/>
          </w:tcPr>
          <w:p w14:paraId="1F7E12DF" w14:textId="77777777" w:rsidR="003F4A18" w:rsidRPr="008A3CFB" w:rsidRDefault="003F4A18" w:rsidP="003F4A18">
            <w:pPr>
              <w:widowControl w:val="0"/>
              <w:spacing w:before="60" w:after="60" w:line="26" w:lineRule="atLeast"/>
              <w:jc w:val="center"/>
              <w:rPr>
                <w:b/>
                <w:sz w:val="26"/>
                <w:szCs w:val="26"/>
              </w:rPr>
            </w:pPr>
            <w:bookmarkStart w:id="0" w:name="_Hlk67748889"/>
            <w:r w:rsidRPr="008A3CFB">
              <w:rPr>
                <w:b/>
                <w:sz w:val="26"/>
                <w:szCs w:val="26"/>
              </w:rPr>
              <w:t>TT</w:t>
            </w:r>
          </w:p>
        </w:tc>
        <w:tc>
          <w:tcPr>
            <w:tcW w:w="2750" w:type="dxa"/>
            <w:shd w:val="clear" w:color="auto" w:fill="auto"/>
            <w:vAlign w:val="center"/>
          </w:tcPr>
          <w:p w14:paraId="42A6A9C3" w14:textId="77777777" w:rsidR="003F4A18" w:rsidRPr="008A3CFB" w:rsidRDefault="003F4A18" w:rsidP="003F4A18">
            <w:pPr>
              <w:widowControl w:val="0"/>
              <w:spacing w:before="60" w:after="60" w:line="26" w:lineRule="atLeast"/>
              <w:jc w:val="center"/>
              <w:rPr>
                <w:b/>
                <w:sz w:val="26"/>
                <w:szCs w:val="26"/>
              </w:rPr>
            </w:pPr>
            <w:r w:rsidRPr="008A3CFB">
              <w:rPr>
                <w:b/>
                <w:sz w:val="26"/>
                <w:szCs w:val="26"/>
              </w:rPr>
              <w:t>Bậc học/</w:t>
            </w:r>
          </w:p>
          <w:p w14:paraId="0ECB72E3" w14:textId="77777777" w:rsidR="003F4A18" w:rsidRPr="008A3CFB" w:rsidRDefault="003F4A18" w:rsidP="003F4A18">
            <w:pPr>
              <w:widowControl w:val="0"/>
              <w:spacing w:before="60" w:after="60" w:line="26" w:lineRule="atLeast"/>
              <w:jc w:val="center"/>
              <w:rPr>
                <w:b/>
                <w:sz w:val="26"/>
                <w:szCs w:val="26"/>
              </w:rPr>
            </w:pPr>
            <w:r w:rsidRPr="008A3CFB">
              <w:rPr>
                <w:b/>
                <w:sz w:val="26"/>
                <w:szCs w:val="26"/>
              </w:rPr>
              <w:t>loại hình đào tạo</w:t>
            </w:r>
          </w:p>
        </w:tc>
        <w:tc>
          <w:tcPr>
            <w:tcW w:w="1842" w:type="dxa"/>
            <w:shd w:val="clear" w:color="auto" w:fill="auto"/>
            <w:vAlign w:val="center"/>
          </w:tcPr>
          <w:p w14:paraId="2E032829" w14:textId="77777777" w:rsidR="003F4A18" w:rsidRPr="008A3CFB" w:rsidRDefault="003F4A18" w:rsidP="003F4A18">
            <w:pPr>
              <w:widowControl w:val="0"/>
              <w:spacing w:before="60" w:after="60" w:line="26" w:lineRule="atLeast"/>
              <w:jc w:val="center"/>
              <w:rPr>
                <w:b/>
                <w:sz w:val="26"/>
                <w:szCs w:val="26"/>
              </w:rPr>
            </w:pPr>
            <w:r w:rsidRPr="008A3CFB">
              <w:rPr>
                <w:b/>
                <w:sz w:val="26"/>
                <w:szCs w:val="26"/>
              </w:rPr>
              <w:t>Chỉ tiêu</w:t>
            </w:r>
          </w:p>
          <w:p w14:paraId="4A28817D" w14:textId="77777777" w:rsidR="003F4A18" w:rsidRPr="008A3CFB" w:rsidRDefault="003F4A18" w:rsidP="003F4A18">
            <w:pPr>
              <w:widowControl w:val="0"/>
              <w:spacing w:before="60" w:after="60" w:line="26" w:lineRule="atLeast"/>
              <w:jc w:val="center"/>
              <w:rPr>
                <w:b/>
                <w:sz w:val="26"/>
                <w:szCs w:val="26"/>
              </w:rPr>
            </w:pPr>
            <w:r w:rsidRPr="008A3CFB">
              <w:rPr>
                <w:b/>
                <w:sz w:val="26"/>
                <w:szCs w:val="26"/>
              </w:rPr>
              <w:t>ĐHV giao</w:t>
            </w:r>
          </w:p>
        </w:tc>
        <w:tc>
          <w:tcPr>
            <w:tcW w:w="1843" w:type="dxa"/>
            <w:vAlign w:val="center"/>
          </w:tcPr>
          <w:p w14:paraId="0EFC7506" w14:textId="77777777" w:rsidR="003F4A18" w:rsidRPr="008A3CFB" w:rsidRDefault="003F4A18" w:rsidP="003F4A18">
            <w:pPr>
              <w:widowControl w:val="0"/>
              <w:spacing w:before="60" w:after="60" w:line="26" w:lineRule="atLeast"/>
              <w:jc w:val="center"/>
              <w:rPr>
                <w:b/>
                <w:sz w:val="26"/>
                <w:szCs w:val="26"/>
              </w:rPr>
            </w:pPr>
            <w:r w:rsidRPr="008A3CFB">
              <w:rPr>
                <w:b/>
                <w:sz w:val="26"/>
                <w:szCs w:val="26"/>
              </w:rPr>
              <w:t>Kết quả</w:t>
            </w:r>
          </w:p>
          <w:p w14:paraId="06222E24" w14:textId="77777777" w:rsidR="003F4A18" w:rsidRPr="008A3CFB" w:rsidRDefault="003F4A18" w:rsidP="003F4A18">
            <w:pPr>
              <w:widowControl w:val="0"/>
              <w:spacing w:before="60" w:after="60" w:line="26" w:lineRule="atLeast"/>
              <w:ind w:hanging="107"/>
              <w:jc w:val="center"/>
              <w:rPr>
                <w:b/>
                <w:sz w:val="26"/>
                <w:szCs w:val="26"/>
              </w:rPr>
            </w:pPr>
            <w:r w:rsidRPr="008A3CFB">
              <w:rPr>
                <w:b/>
                <w:sz w:val="26"/>
                <w:szCs w:val="26"/>
              </w:rPr>
              <w:t>tuyển sinh</w:t>
            </w:r>
          </w:p>
        </w:tc>
        <w:tc>
          <w:tcPr>
            <w:tcW w:w="2234" w:type="dxa"/>
            <w:shd w:val="clear" w:color="auto" w:fill="auto"/>
            <w:vAlign w:val="center"/>
          </w:tcPr>
          <w:p w14:paraId="6850CF14" w14:textId="77777777" w:rsidR="003F4A18" w:rsidRPr="008A3CFB" w:rsidRDefault="003F4A18" w:rsidP="003F4A18">
            <w:pPr>
              <w:widowControl w:val="0"/>
              <w:spacing w:before="60" w:after="60" w:line="26" w:lineRule="atLeast"/>
              <w:ind w:hanging="107"/>
              <w:jc w:val="center"/>
              <w:rPr>
                <w:b/>
                <w:sz w:val="26"/>
                <w:szCs w:val="26"/>
              </w:rPr>
            </w:pPr>
            <w:r w:rsidRPr="008A3CFB">
              <w:rPr>
                <w:b/>
                <w:sz w:val="26"/>
                <w:szCs w:val="26"/>
              </w:rPr>
              <w:t>Đạt % chỉ tiêu</w:t>
            </w:r>
          </w:p>
        </w:tc>
      </w:tr>
      <w:tr w:rsidR="008A3CFB" w:rsidRPr="008A3CFB" w14:paraId="47497F4C" w14:textId="77777777" w:rsidTr="00277346">
        <w:trPr>
          <w:jc w:val="center"/>
        </w:trPr>
        <w:tc>
          <w:tcPr>
            <w:tcW w:w="619" w:type="dxa"/>
            <w:shd w:val="clear" w:color="auto" w:fill="auto"/>
            <w:vAlign w:val="center"/>
          </w:tcPr>
          <w:p w14:paraId="4BA4759A" w14:textId="77777777" w:rsidR="003F4A18" w:rsidRPr="008A3CFB" w:rsidRDefault="003F4A18" w:rsidP="003F4A18">
            <w:pPr>
              <w:pStyle w:val="ListParagraph"/>
              <w:widowControl w:val="0"/>
              <w:numPr>
                <w:ilvl w:val="0"/>
                <w:numId w:val="17"/>
              </w:numPr>
              <w:spacing w:before="60" w:after="60" w:line="26" w:lineRule="atLeast"/>
              <w:ind w:left="414" w:hanging="357"/>
              <w:rPr>
                <w:sz w:val="26"/>
                <w:szCs w:val="26"/>
              </w:rPr>
            </w:pPr>
            <w:bookmarkStart w:id="1" w:name="_Hlk78489771"/>
          </w:p>
        </w:tc>
        <w:tc>
          <w:tcPr>
            <w:tcW w:w="2750" w:type="dxa"/>
            <w:shd w:val="clear" w:color="auto" w:fill="auto"/>
            <w:vAlign w:val="center"/>
          </w:tcPr>
          <w:p w14:paraId="7F4065CA" w14:textId="77777777" w:rsidR="003F4A18" w:rsidRPr="008A3CFB" w:rsidRDefault="003F4A18" w:rsidP="003F4A18">
            <w:pPr>
              <w:widowControl w:val="0"/>
              <w:spacing w:before="60" w:after="60" w:line="26" w:lineRule="atLeast"/>
              <w:rPr>
                <w:sz w:val="26"/>
                <w:szCs w:val="26"/>
              </w:rPr>
            </w:pPr>
            <w:r w:rsidRPr="008A3CFB">
              <w:rPr>
                <w:sz w:val="26"/>
                <w:szCs w:val="26"/>
              </w:rPr>
              <w:t>Đại học chính quy</w:t>
            </w:r>
          </w:p>
        </w:tc>
        <w:tc>
          <w:tcPr>
            <w:tcW w:w="1842" w:type="dxa"/>
            <w:shd w:val="clear" w:color="auto" w:fill="auto"/>
            <w:vAlign w:val="center"/>
          </w:tcPr>
          <w:p w14:paraId="648DF635" w14:textId="11F4A1E8" w:rsidR="003F4A18" w:rsidRPr="00921011" w:rsidRDefault="00AF6216" w:rsidP="003F4A18">
            <w:pPr>
              <w:widowControl w:val="0"/>
              <w:spacing w:before="60" w:after="60" w:line="26" w:lineRule="atLeast"/>
              <w:jc w:val="center"/>
              <w:rPr>
                <w:sz w:val="26"/>
                <w:szCs w:val="26"/>
              </w:rPr>
            </w:pPr>
            <w:r w:rsidRPr="008A3CFB">
              <w:rPr>
                <w:sz w:val="26"/>
                <w:szCs w:val="26"/>
              </w:rPr>
              <w:t>13</w:t>
            </w:r>
            <w:r w:rsidR="000C1FC3" w:rsidRPr="008A3CFB">
              <w:rPr>
                <w:sz w:val="26"/>
                <w:szCs w:val="26"/>
              </w:rPr>
              <w:t>8</w:t>
            </w:r>
            <w:r w:rsidRPr="008A3CFB">
              <w:rPr>
                <w:sz w:val="26"/>
                <w:szCs w:val="26"/>
              </w:rPr>
              <w:t>0</w:t>
            </w:r>
          </w:p>
        </w:tc>
        <w:tc>
          <w:tcPr>
            <w:tcW w:w="1843" w:type="dxa"/>
            <w:vAlign w:val="center"/>
          </w:tcPr>
          <w:p w14:paraId="352B4AF6" w14:textId="4F4A3C70" w:rsidR="003F4A18" w:rsidRPr="00921011" w:rsidRDefault="005C3C4B" w:rsidP="003F4A18">
            <w:pPr>
              <w:widowControl w:val="0"/>
              <w:spacing w:before="60" w:after="60" w:line="26" w:lineRule="atLeast"/>
              <w:jc w:val="center"/>
              <w:rPr>
                <w:sz w:val="26"/>
                <w:szCs w:val="26"/>
              </w:rPr>
            </w:pPr>
            <w:r w:rsidRPr="008A3CFB">
              <w:rPr>
                <w:bCs/>
                <w:sz w:val="26"/>
                <w:szCs w:val="26"/>
                <w:lang w:val="sv-SE"/>
              </w:rPr>
              <w:t>1162</w:t>
            </w:r>
          </w:p>
        </w:tc>
        <w:tc>
          <w:tcPr>
            <w:tcW w:w="2234" w:type="dxa"/>
            <w:shd w:val="clear" w:color="auto" w:fill="auto"/>
            <w:vAlign w:val="center"/>
          </w:tcPr>
          <w:p w14:paraId="58E794EF" w14:textId="70F3F115" w:rsidR="003F4A18" w:rsidRPr="00921011" w:rsidRDefault="003F4A18" w:rsidP="003F4A18">
            <w:pPr>
              <w:widowControl w:val="0"/>
              <w:spacing w:before="60" w:after="60" w:line="26" w:lineRule="atLeast"/>
              <w:ind w:right="566"/>
              <w:jc w:val="right"/>
              <w:rPr>
                <w:sz w:val="26"/>
                <w:szCs w:val="26"/>
              </w:rPr>
            </w:pPr>
          </w:p>
        </w:tc>
      </w:tr>
      <w:tr w:rsidR="008A3CFB" w:rsidRPr="008A3CFB" w14:paraId="7E399922" w14:textId="77777777" w:rsidTr="00277346">
        <w:trPr>
          <w:jc w:val="center"/>
        </w:trPr>
        <w:tc>
          <w:tcPr>
            <w:tcW w:w="619" w:type="dxa"/>
            <w:shd w:val="clear" w:color="auto" w:fill="auto"/>
            <w:vAlign w:val="center"/>
          </w:tcPr>
          <w:p w14:paraId="69A564B8" w14:textId="77777777" w:rsidR="003F4A18" w:rsidRPr="008A3CFB" w:rsidRDefault="003F4A18" w:rsidP="003F4A18">
            <w:pPr>
              <w:pStyle w:val="ListParagraph"/>
              <w:widowControl w:val="0"/>
              <w:numPr>
                <w:ilvl w:val="0"/>
                <w:numId w:val="17"/>
              </w:numPr>
              <w:spacing w:before="60" w:after="60" w:line="26" w:lineRule="atLeast"/>
              <w:ind w:left="414" w:hanging="357"/>
              <w:rPr>
                <w:sz w:val="26"/>
                <w:szCs w:val="26"/>
              </w:rPr>
            </w:pPr>
          </w:p>
        </w:tc>
        <w:tc>
          <w:tcPr>
            <w:tcW w:w="2750" w:type="dxa"/>
            <w:shd w:val="clear" w:color="auto" w:fill="auto"/>
            <w:vAlign w:val="center"/>
          </w:tcPr>
          <w:p w14:paraId="0915C615" w14:textId="77777777" w:rsidR="003F4A18" w:rsidRPr="008A3CFB" w:rsidRDefault="003F4A18" w:rsidP="003F4A18">
            <w:pPr>
              <w:widowControl w:val="0"/>
              <w:spacing w:before="60" w:after="60" w:line="26" w:lineRule="atLeast"/>
              <w:rPr>
                <w:sz w:val="26"/>
                <w:szCs w:val="26"/>
              </w:rPr>
            </w:pPr>
            <w:r w:rsidRPr="008A3CFB">
              <w:rPr>
                <w:sz w:val="26"/>
                <w:szCs w:val="26"/>
              </w:rPr>
              <w:t>Cao học thạc sĩ</w:t>
            </w:r>
          </w:p>
        </w:tc>
        <w:tc>
          <w:tcPr>
            <w:tcW w:w="1842" w:type="dxa"/>
            <w:shd w:val="clear" w:color="auto" w:fill="auto"/>
            <w:vAlign w:val="center"/>
          </w:tcPr>
          <w:p w14:paraId="235CC1F0" w14:textId="13738ED8" w:rsidR="003F4A18" w:rsidRPr="008A3CFB" w:rsidRDefault="003F4A18" w:rsidP="003F4A18">
            <w:pPr>
              <w:widowControl w:val="0"/>
              <w:spacing w:before="60" w:after="60" w:line="26" w:lineRule="atLeast"/>
              <w:jc w:val="center"/>
              <w:rPr>
                <w:sz w:val="26"/>
                <w:szCs w:val="26"/>
              </w:rPr>
            </w:pPr>
            <w:r w:rsidRPr="008A3CFB">
              <w:rPr>
                <w:sz w:val="26"/>
                <w:szCs w:val="26"/>
              </w:rPr>
              <w:t>5</w:t>
            </w:r>
            <w:r w:rsidR="003824CA" w:rsidRPr="008A3CFB">
              <w:rPr>
                <w:sz w:val="26"/>
                <w:szCs w:val="26"/>
              </w:rPr>
              <w:t>30</w:t>
            </w:r>
          </w:p>
        </w:tc>
        <w:tc>
          <w:tcPr>
            <w:tcW w:w="1843" w:type="dxa"/>
            <w:vAlign w:val="center"/>
          </w:tcPr>
          <w:p w14:paraId="3888D168" w14:textId="328D2515" w:rsidR="003F4A18" w:rsidRPr="00921011" w:rsidRDefault="00C37C28" w:rsidP="003F4A18">
            <w:pPr>
              <w:widowControl w:val="0"/>
              <w:spacing w:before="60" w:after="60" w:line="26" w:lineRule="atLeast"/>
              <w:jc w:val="center"/>
              <w:rPr>
                <w:sz w:val="26"/>
                <w:szCs w:val="26"/>
              </w:rPr>
            </w:pPr>
            <w:r w:rsidRPr="008A3CFB">
              <w:rPr>
                <w:bCs/>
                <w:sz w:val="26"/>
                <w:szCs w:val="26"/>
                <w:lang w:val="sv-SE"/>
              </w:rPr>
              <w:t>187</w:t>
            </w:r>
            <w:r w:rsidR="006970CB" w:rsidRPr="008A3CFB">
              <w:rPr>
                <w:bCs/>
                <w:sz w:val="26"/>
                <w:szCs w:val="26"/>
                <w:lang w:val="sv-SE"/>
              </w:rPr>
              <w:t xml:space="preserve"> đợt 1</w:t>
            </w:r>
          </w:p>
        </w:tc>
        <w:tc>
          <w:tcPr>
            <w:tcW w:w="2234" w:type="dxa"/>
            <w:shd w:val="clear" w:color="auto" w:fill="auto"/>
            <w:vAlign w:val="center"/>
          </w:tcPr>
          <w:p w14:paraId="73D6459D" w14:textId="5974AE7C" w:rsidR="003F4A18" w:rsidRPr="00921011" w:rsidRDefault="003F4A18" w:rsidP="003F4A18">
            <w:pPr>
              <w:widowControl w:val="0"/>
              <w:spacing w:before="60" w:after="60" w:line="26" w:lineRule="atLeast"/>
              <w:jc w:val="center"/>
              <w:rPr>
                <w:bCs/>
                <w:sz w:val="26"/>
                <w:szCs w:val="26"/>
              </w:rPr>
            </w:pPr>
          </w:p>
        </w:tc>
      </w:tr>
      <w:tr w:rsidR="008A3CFB" w:rsidRPr="008A3CFB" w14:paraId="51468ED7" w14:textId="77777777" w:rsidTr="00277346">
        <w:trPr>
          <w:jc w:val="center"/>
        </w:trPr>
        <w:tc>
          <w:tcPr>
            <w:tcW w:w="619" w:type="dxa"/>
            <w:shd w:val="clear" w:color="auto" w:fill="auto"/>
            <w:vAlign w:val="center"/>
          </w:tcPr>
          <w:p w14:paraId="02B4AC5C" w14:textId="77777777" w:rsidR="003F4A18" w:rsidRPr="008A3CFB" w:rsidRDefault="003F4A18" w:rsidP="003F4A18">
            <w:pPr>
              <w:pStyle w:val="ListParagraph"/>
              <w:widowControl w:val="0"/>
              <w:numPr>
                <w:ilvl w:val="0"/>
                <w:numId w:val="17"/>
              </w:numPr>
              <w:spacing w:before="60" w:after="60" w:line="26" w:lineRule="atLeast"/>
              <w:ind w:left="414" w:hanging="357"/>
              <w:rPr>
                <w:sz w:val="26"/>
                <w:szCs w:val="26"/>
              </w:rPr>
            </w:pPr>
          </w:p>
        </w:tc>
        <w:tc>
          <w:tcPr>
            <w:tcW w:w="2750" w:type="dxa"/>
            <w:shd w:val="clear" w:color="auto" w:fill="auto"/>
            <w:vAlign w:val="center"/>
          </w:tcPr>
          <w:p w14:paraId="6844F466" w14:textId="77777777" w:rsidR="003F4A18" w:rsidRPr="008A3CFB" w:rsidRDefault="003F4A18" w:rsidP="003F4A18">
            <w:pPr>
              <w:widowControl w:val="0"/>
              <w:spacing w:before="60" w:after="60" w:line="26" w:lineRule="atLeast"/>
              <w:rPr>
                <w:sz w:val="26"/>
                <w:szCs w:val="26"/>
              </w:rPr>
            </w:pPr>
            <w:r w:rsidRPr="008A3CFB">
              <w:rPr>
                <w:sz w:val="26"/>
                <w:szCs w:val="26"/>
              </w:rPr>
              <w:t>Nghiên cứu sinh</w:t>
            </w:r>
          </w:p>
        </w:tc>
        <w:tc>
          <w:tcPr>
            <w:tcW w:w="1842" w:type="dxa"/>
            <w:shd w:val="clear" w:color="auto" w:fill="auto"/>
            <w:vAlign w:val="center"/>
          </w:tcPr>
          <w:p w14:paraId="3860E8FD" w14:textId="4C16DF85" w:rsidR="003F4A18" w:rsidRPr="008A3CFB" w:rsidRDefault="003824CA" w:rsidP="003F4A18">
            <w:pPr>
              <w:widowControl w:val="0"/>
              <w:spacing w:before="60" w:after="60" w:line="26" w:lineRule="atLeast"/>
              <w:jc w:val="center"/>
              <w:rPr>
                <w:sz w:val="26"/>
                <w:szCs w:val="26"/>
              </w:rPr>
            </w:pPr>
            <w:r w:rsidRPr="008A3CFB">
              <w:rPr>
                <w:sz w:val="26"/>
                <w:szCs w:val="26"/>
              </w:rPr>
              <w:t>24</w:t>
            </w:r>
          </w:p>
        </w:tc>
        <w:tc>
          <w:tcPr>
            <w:tcW w:w="1843" w:type="dxa"/>
            <w:vAlign w:val="center"/>
          </w:tcPr>
          <w:p w14:paraId="78D70D05" w14:textId="4915D7E8" w:rsidR="003F4A18" w:rsidRPr="008A3CFB" w:rsidRDefault="003F4A18" w:rsidP="003F4A18">
            <w:pPr>
              <w:widowControl w:val="0"/>
              <w:spacing w:before="60" w:after="60" w:line="26" w:lineRule="atLeast"/>
              <w:jc w:val="center"/>
              <w:rPr>
                <w:sz w:val="26"/>
                <w:szCs w:val="26"/>
              </w:rPr>
            </w:pPr>
            <w:r w:rsidRPr="008A3CFB">
              <w:rPr>
                <w:bCs/>
                <w:sz w:val="26"/>
                <w:szCs w:val="26"/>
                <w:lang w:val="sv-SE"/>
              </w:rPr>
              <w:t>1</w:t>
            </w:r>
            <w:r w:rsidR="000F211E" w:rsidRPr="008A3CFB">
              <w:rPr>
                <w:bCs/>
                <w:sz w:val="26"/>
                <w:szCs w:val="26"/>
                <w:lang w:val="sv-SE"/>
              </w:rPr>
              <w:t>4</w:t>
            </w:r>
          </w:p>
        </w:tc>
        <w:tc>
          <w:tcPr>
            <w:tcW w:w="2234" w:type="dxa"/>
            <w:shd w:val="clear" w:color="auto" w:fill="auto"/>
            <w:vAlign w:val="center"/>
          </w:tcPr>
          <w:p w14:paraId="6D1B7439" w14:textId="6C56AEA0" w:rsidR="003F4A18" w:rsidRPr="00921011" w:rsidRDefault="003F4A18" w:rsidP="003F4A18">
            <w:pPr>
              <w:widowControl w:val="0"/>
              <w:spacing w:before="60" w:after="60" w:line="26" w:lineRule="atLeast"/>
              <w:jc w:val="center"/>
              <w:rPr>
                <w:bCs/>
                <w:sz w:val="26"/>
                <w:szCs w:val="26"/>
              </w:rPr>
            </w:pPr>
          </w:p>
        </w:tc>
      </w:tr>
      <w:tr w:rsidR="003F4A18" w:rsidRPr="008A3CFB" w14:paraId="16996DCD" w14:textId="77777777" w:rsidTr="00277346">
        <w:trPr>
          <w:jc w:val="center"/>
        </w:trPr>
        <w:tc>
          <w:tcPr>
            <w:tcW w:w="619" w:type="dxa"/>
            <w:shd w:val="clear" w:color="auto" w:fill="auto"/>
            <w:vAlign w:val="center"/>
          </w:tcPr>
          <w:p w14:paraId="1AE2A9BF" w14:textId="77777777" w:rsidR="003F4A18" w:rsidRPr="008A3CFB" w:rsidRDefault="003F4A18" w:rsidP="003F4A18">
            <w:pPr>
              <w:pStyle w:val="ListParagraph"/>
              <w:widowControl w:val="0"/>
              <w:numPr>
                <w:ilvl w:val="0"/>
                <w:numId w:val="17"/>
              </w:numPr>
              <w:spacing w:before="60" w:after="60" w:line="26" w:lineRule="atLeast"/>
              <w:ind w:left="414" w:hanging="357"/>
              <w:rPr>
                <w:sz w:val="26"/>
                <w:szCs w:val="26"/>
              </w:rPr>
            </w:pPr>
          </w:p>
        </w:tc>
        <w:tc>
          <w:tcPr>
            <w:tcW w:w="2750" w:type="dxa"/>
            <w:shd w:val="clear" w:color="auto" w:fill="auto"/>
            <w:vAlign w:val="center"/>
          </w:tcPr>
          <w:p w14:paraId="0496BD7C" w14:textId="77777777" w:rsidR="003F4A18" w:rsidRPr="008A3CFB" w:rsidRDefault="003F4A18" w:rsidP="003F4A18">
            <w:pPr>
              <w:widowControl w:val="0"/>
              <w:spacing w:before="60" w:after="60" w:line="26" w:lineRule="atLeast"/>
              <w:rPr>
                <w:sz w:val="26"/>
                <w:szCs w:val="26"/>
              </w:rPr>
            </w:pPr>
            <w:r w:rsidRPr="008A3CFB">
              <w:rPr>
                <w:sz w:val="26"/>
                <w:szCs w:val="26"/>
              </w:rPr>
              <w:t>ĐH VL-VH nâng chuẩn</w:t>
            </w:r>
          </w:p>
        </w:tc>
        <w:tc>
          <w:tcPr>
            <w:tcW w:w="1842" w:type="dxa"/>
            <w:shd w:val="clear" w:color="auto" w:fill="auto"/>
            <w:vAlign w:val="center"/>
          </w:tcPr>
          <w:p w14:paraId="25F00142" w14:textId="117494D9" w:rsidR="003F4A18" w:rsidRPr="008A3CFB" w:rsidRDefault="003824CA" w:rsidP="003F4A18">
            <w:pPr>
              <w:widowControl w:val="0"/>
              <w:spacing w:before="60" w:after="60" w:line="26" w:lineRule="atLeast"/>
              <w:jc w:val="center"/>
              <w:rPr>
                <w:sz w:val="26"/>
                <w:szCs w:val="26"/>
              </w:rPr>
            </w:pPr>
            <w:r w:rsidRPr="008A3CFB">
              <w:rPr>
                <w:sz w:val="26"/>
                <w:szCs w:val="26"/>
              </w:rPr>
              <w:t>1350</w:t>
            </w:r>
          </w:p>
        </w:tc>
        <w:tc>
          <w:tcPr>
            <w:tcW w:w="1843" w:type="dxa"/>
            <w:vAlign w:val="center"/>
          </w:tcPr>
          <w:p w14:paraId="036D1832" w14:textId="7FB849F8" w:rsidR="003F4A18" w:rsidRPr="00921011" w:rsidRDefault="003F4A18" w:rsidP="003F4A18">
            <w:pPr>
              <w:widowControl w:val="0"/>
              <w:spacing w:before="60" w:after="60" w:line="26" w:lineRule="atLeast"/>
              <w:jc w:val="center"/>
              <w:rPr>
                <w:bCs/>
                <w:sz w:val="26"/>
                <w:szCs w:val="26"/>
                <w:lang w:val="sv-SE"/>
              </w:rPr>
            </w:pPr>
          </w:p>
        </w:tc>
        <w:tc>
          <w:tcPr>
            <w:tcW w:w="2234" w:type="dxa"/>
            <w:shd w:val="clear" w:color="auto" w:fill="auto"/>
            <w:vAlign w:val="center"/>
          </w:tcPr>
          <w:p w14:paraId="0B45FA21" w14:textId="54761953" w:rsidR="003F4A18" w:rsidRPr="00921011" w:rsidRDefault="003F4A18" w:rsidP="003F4A18">
            <w:pPr>
              <w:widowControl w:val="0"/>
              <w:spacing w:before="60" w:after="60" w:line="26" w:lineRule="atLeast"/>
              <w:jc w:val="center"/>
              <w:rPr>
                <w:bCs/>
                <w:sz w:val="26"/>
                <w:szCs w:val="26"/>
              </w:rPr>
            </w:pPr>
          </w:p>
        </w:tc>
      </w:tr>
      <w:bookmarkEnd w:id="0"/>
      <w:bookmarkEnd w:id="1"/>
    </w:tbl>
    <w:p w14:paraId="17161297" w14:textId="77777777" w:rsidR="003F4A18" w:rsidRPr="008A3CFB" w:rsidRDefault="003F4A18" w:rsidP="003F4A18">
      <w:pPr>
        <w:widowControl w:val="0"/>
        <w:spacing w:before="60" w:after="60" w:line="26" w:lineRule="atLeast"/>
        <w:ind w:firstLine="706"/>
        <w:jc w:val="both"/>
        <w:rPr>
          <w:b/>
          <w:bCs/>
          <w:i/>
          <w:iCs/>
          <w:sz w:val="26"/>
          <w:szCs w:val="26"/>
          <w:lang w:val="vi-VN"/>
        </w:rPr>
      </w:pPr>
    </w:p>
    <w:p w14:paraId="6B853B3D" w14:textId="77777777" w:rsidR="003F4A18" w:rsidRPr="008A3CFB" w:rsidRDefault="003F4A18" w:rsidP="003F4A18">
      <w:pPr>
        <w:widowControl w:val="0"/>
        <w:spacing w:before="60" w:after="60" w:line="26" w:lineRule="atLeast"/>
        <w:jc w:val="both"/>
        <w:rPr>
          <w:b/>
          <w:bCs/>
          <w:sz w:val="26"/>
          <w:szCs w:val="26"/>
          <w:lang w:val="vi-VN"/>
        </w:rPr>
      </w:pPr>
      <w:r w:rsidRPr="008A3CFB">
        <w:rPr>
          <w:b/>
          <w:bCs/>
          <w:sz w:val="26"/>
          <w:szCs w:val="26"/>
        </w:rPr>
        <w:t>3</w:t>
      </w:r>
      <w:r w:rsidRPr="008A3CFB">
        <w:rPr>
          <w:b/>
          <w:bCs/>
          <w:sz w:val="26"/>
          <w:szCs w:val="26"/>
          <w:lang w:val="vi-VN"/>
        </w:rPr>
        <w:t>. Công tác phát triển chương trình đào tạo và bồi dưỡng</w:t>
      </w:r>
    </w:p>
    <w:p w14:paraId="713E8EF0" w14:textId="3CB30C44" w:rsidR="003F4A18" w:rsidRPr="008A3CFB" w:rsidRDefault="003F4A18" w:rsidP="003F4A18">
      <w:pPr>
        <w:widowControl w:val="0"/>
        <w:spacing w:before="60" w:after="60" w:line="26" w:lineRule="atLeast"/>
        <w:ind w:firstLine="709"/>
        <w:jc w:val="both"/>
        <w:rPr>
          <w:sz w:val="26"/>
          <w:szCs w:val="26"/>
          <w:lang w:val="de-DE"/>
        </w:rPr>
      </w:pPr>
      <w:r w:rsidRPr="008A3CFB">
        <w:rPr>
          <w:sz w:val="26"/>
          <w:szCs w:val="26"/>
          <w:lang w:val="de-DE"/>
        </w:rPr>
        <w:t>- Năm 202</w:t>
      </w:r>
      <w:r w:rsidR="004039A4" w:rsidRPr="008A3CFB">
        <w:rPr>
          <w:sz w:val="26"/>
          <w:szCs w:val="26"/>
          <w:lang w:val="de-DE"/>
        </w:rPr>
        <w:t>3</w:t>
      </w:r>
      <w:r w:rsidRPr="008A3CFB">
        <w:rPr>
          <w:sz w:val="26"/>
          <w:szCs w:val="26"/>
          <w:lang w:val="de-DE"/>
        </w:rPr>
        <w:t>,  tiếp tục xây dựng rà soát, cập nhật chương trình đào tạo trình độ đại học hệ chính quy theo tiếp cận CDIO</w:t>
      </w:r>
      <w:r w:rsidRPr="008A3CFB">
        <w:rPr>
          <w:sz w:val="26"/>
          <w:szCs w:val="26"/>
          <w:lang w:val="vi-VN"/>
        </w:rPr>
        <w:t>.</w:t>
      </w:r>
      <w:r w:rsidRPr="00921011">
        <w:rPr>
          <w:sz w:val="26"/>
          <w:szCs w:val="26"/>
          <w:lang w:val="vi-VN"/>
        </w:rPr>
        <w:t xml:space="preserve"> </w:t>
      </w:r>
      <w:r w:rsidRPr="008A3CFB">
        <w:rPr>
          <w:sz w:val="26"/>
          <w:szCs w:val="26"/>
          <w:lang w:val="vi-VN"/>
        </w:rPr>
        <w:t xml:space="preserve">Các ngành đã tiến hành khảo sát nhu cầu của thị trường lao động liên quan đến CTĐT, lấy ý kiến phản hồi các bên liên quan để xây dựng và phát triển CTĐT; </w:t>
      </w:r>
      <w:r w:rsidRPr="008A3CFB">
        <w:rPr>
          <w:sz w:val="26"/>
          <w:szCs w:val="26"/>
        </w:rPr>
        <w:t>xây dựng</w:t>
      </w:r>
      <w:r w:rsidRPr="008A3CFB">
        <w:rPr>
          <w:sz w:val="26"/>
          <w:szCs w:val="26"/>
          <w:lang w:val="vi-VN"/>
        </w:rPr>
        <w:t xml:space="preserve"> chương trình đào tạo, CĐR môn học thực hiện cho khóa 6</w:t>
      </w:r>
      <w:r w:rsidRPr="008A3CFB">
        <w:rPr>
          <w:sz w:val="26"/>
          <w:szCs w:val="26"/>
        </w:rPr>
        <w:t>3</w:t>
      </w:r>
      <w:r w:rsidRPr="008A3CFB">
        <w:rPr>
          <w:sz w:val="26"/>
          <w:szCs w:val="26"/>
          <w:lang w:val="vi-VN"/>
        </w:rPr>
        <w:t xml:space="preserve">. </w:t>
      </w:r>
    </w:p>
    <w:p w14:paraId="07FE9017" w14:textId="77777777" w:rsidR="003F4A18" w:rsidRPr="008A3CFB" w:rsidRDefault="003F4A18" w:rsidP="003F4A18">
      <w:pPr>
        <w:widowControl w:val="0"/>
        <w:spacing w:before="60" w:after="60" w:line="26" w:lineRule="atLeast"/>
        <w:ind w:firstLine="720"/>
        <w:jc w:val="both"/>
        <w:rPr>
          <w:sz w:val="26"/>
          <w:szCs w:val="26"/>
        </w:rPr>
      </w:pPr>
      <w:r w:rsidRPr="008A3CFB">
        <w:rPr>
          <w:sz w:val="26"/>
          <w:szCs w:val="26"/>
        </w:rPr>
        <w:t xml:space="preserve">- </w:t>
      </w:r>
      <w:r w:rsidRPr="008A3CFB">
        <w:rPr>
          <w:sz w:val="26"/>
          <w:szCs w:val="26"/>
          <w:lang w:val="vi-VN"/>
        </w:rPr>
        <w:t>Xây dựng và hoàn thiện bài giảng E-learning các học phần cho đào tạo Cao học thạc sĩ và Tiến sĩ, xây dựng chuẩn đầu ra cho cho các chuyên ngành Cao học và NCS</w:t>
      </w:r>
      <w:r w:rsidRPr="008A3CFB">
        <w:rPr>
          <w:sz w:val="26"/>
          <w:szCs w:val="26"/>
        </w:rPr>
        <w:t>.</w:t>
      </w:r>
    </w:p>
    <w:p w14:paraId="4BEA826B" w14:textId="77777777" w:rsidR="003F4A18" w:rsidRPr="008A3CFB" w:rsidRDefault="003F4A18" w:rsidP="003F4A18">
      <w:pPr>
        <w:widowControl w:val="0"/>
        <w:spacing w:before="60" w:after="60" w:line="26" w:lineRule="atLeast"/>
        <w:ind w:firstLine="720"/>
        <w:jc w:val="both"/>
        <w:rPr>
          <w:sz w:val="26"/>
          <w:szCs w:val="26"/>
        </w:rPr>
      </w:pPr>
      <w:r w:rsidRPr="008A3CFB">
        <w:rPr>
          <w:sz w:val="26"/>
          <w:szCs w:val="26"/>
        </w:rPr>
        <w:t xml:space="preserve">- </w:t>
      </w:r>
      <w:r w:rsidRPr="008A3CFB">
        <w:rPr>
          <w:sz w:val="26"/>
          <w:szCs w:val="26"/>
          <w:lang w:val="vi-VN"/>
        </w:rPr>
        <w:t>Rà soát lại khung chương trình, xây dựng bài giảng, bài tập, học liệu tham khảo E-learning cho cho hệ đào tạo vừa làm vừa học. Rà soát, xây dựng mới ngân hàng đề thi và thực hiện công tác kiểm tra đánh giá theo quy định hiện hành</w:t>
      </w:r>
      <w:r w:rsidRPr="008A3CFB">
        <w:rPr>
          <w:sz w:val="26"/>
          <w:szCs w:val="26"/>
        </w:rPr>
        <w:t>.</w:t>
      </w:r>
    </w:p>
    <w:p w14:paraId="7E9A2852" w14:textId="77777777" w:rsidR="003F4A18" w:rsidRPr="008A3CFB" w:rsidRDefault="003F4A18" w:rsidP="003F4A18">
      <w:pPr>
        <w:widowControl w:val="0"/>
        <w:spacing w:before="60" w:after="60" w:line="26" w:lineRule="atLeast"/>
        <w:ind w:firstLine="720"/>
        <w:jc w:val="both"/>
        <w:rPr>
          <w:sz w:val="26"/>
          <w:szCs w:val="26"/>
        </w:rPr>
      </w:pPr>
      <w:r w:rsidRPr="008A3CFB">
        <w:rPr>
          <w:sz w:val="26"/>
          <w:szCs w:val="26"/>
        </w:rPr>
        <w:t xml:space="preserve">- </w:t>
      </w:r>
      <w:r w:rsidRPr="008A3CFB">
        <w:rPr>
          <w:sz w:val="26"/>
          <w:szCs w:val="26"/>
          <w:lang w:val="vi-VN"/>
        </w:rPr>
        <w:t xml:space="preserve">Xây dựng thành công các đề án bồi dưỡng theo tiêu chuẩn chức danh nghề nghiệp nhà giáo các bậc học, bậc đào tạo, trình các cấp thẩm quyền giao nhiệm vụ cho Trường Đại học Vinh thực hiện công tác bồi dưỡng theo tiêu chuẩn chức danh nhà giáo từ mầm non </w:t>
      </w:r>
      <w:r w:rsidRPr="008A3CFB">
        <w:rPr>
          <w:sz w:val="26"/>
          <w:szCs w:val="26"/>
          <w:lang w:val="vi-VN"/>
        </w:rPr>
        <w:lastRenderedPageBreak/>
        <w:t>đến đại học</w:t>
      </w:r>
      <w:r w:rsidRPr="008A3CFB">
        <w:rPr>
          <w:rStyle w:val="FootnoteReference"/>
          <w:sz w:val="26"/>
          <w:szCs w:val="26"/>
        </w:rPr>
        <w:footnoteReference w:id="1"/>
      </w:r>
      <w:r w:rsidRPr="008A3CFB">
        <w:rPr>
          <w:sz w:val="26"/>
          <w:szCs w:val="26"/>
        </w:rPr>
        <w:t>.</w:t>
      </w:r>
    </w:p>
    <w:p w14:paraId="423F359B" w14:textId="77777777" w:rsidR="003F4A18" w:rsidRPr="008A3CFB" w:rsidRDefault="003F4A18" w:rsidP="003F4A18">
      <w:pPr>
        <w:widowControl w:val="0"/>
        <w:spacing w:before="60" w:after="60" w:line="26" w:lineRule="atLeast"/>
        <w:jc w:val="both"/>
        <w:rPr>
          <w:rFonts w:eastAsia="Calibri"/>
          <w:b/>
          <w:sz w:val="26"/>
          <w:szCs w:val="26"/>
          <w:lang w:val="pt-BR"/>
        </w:rPr>
      </w:pPr>
      <w:r w:rsidRPr="008A3CFB">
        <w:rPr>
          <w:rFonts w:eastAsia="Calibri"/>
          <w:b/>
          <w:sz w:val="26"/>
          <w:szCs w:val="26"/>
          <w:lang w:val="pt-BR"/>
        </w:rPr>
        <w:tab/>
        <w:t xml:space="preserve">4. Công tác dạy học </w:t>
      </w:r>
    </w:p>
    <w:p w14:paraId="0DF85F91" w14:textId="77777777" w:rsidR="003F4A18" w:rsidRPr="008A3CFB" w:rsidRDefault="003F4A18" w:rsidP="003F4A18">
      <w:pPr>
        <w:widowControl w:val="0"/>
        <w:spacing w:before="60" w:after="60" w:line="26" w:lineRule="atLeast"/>
        <w:ind w:firstLine="720"/>
        <w:jc w:val="both"/>
        <w:rPr>
          <w:rFonts w:eastAsia="Calibri"/>
          <w:sz w:val="26"/>
          <w:szCs w:val="26"/>
          <w:lang w:val="pt-BR"/>
        </w:rPr>
      </w:pPr>
      <w:r w:rsidRPr="008A3CFB">
        <w:rPr>
          <w:iCs/>
          <w:spacing w:val="-2"/>
          <w:sz w:val="26"/>
          <w:szCs w:val="26"/>
        </w:rPr>
        <w:t xml:space="preserve">- </w:t>
      </w:r>
      <w:r w:rsidRPr="008A3CFB">
        <w:rPr>
          <w:iCs/>
          <w:spacing w:val="-2"/>
          <w:sz w:val="26"/>
          <w:szCs w:val="26"/>
          <w:lang w:val="vi-VN"/>
        </w:rPr>
        <w:t xml:space="preserve">Các hoạt động đào tạo đã được tổ chức và triển khai </w:t>
      </w:r>
      <w:r w:rsidRPr="008A3CFB">
        <w:rPr>
          <w:iCs/>
          <w:spacing w:val="-2"/>
          <w:sz w:val="26"/>
          <w:szCs w:val="26"/>
          <w:lang w:val="pt-BR"/>
        </w:rPr>
        <w:t xml:space="preserve">đúng kế hoạch theo </w:t>
      </w:r>
      <w:r w:rsidRPr="008A3CFB">
        <w:rPr>
          <w:iCs/>
          <w:spacing w:val="-2"/>
          <w:sz w:val="26"/>
          <w:szCs w:val="26"/>
          <w:lang w:val="vi-VN"/>
        </w:rPr>
        <w:t xml:space="preserve">quy chế hiện hành. Công tác giảng dạy, coi thi, chấm thi học phần và biên soạn bài giảng, câu hỏi thi học phần đã được các bộ môn, giảng viên thực hiện nghiêm túc. </w:t>
      </w:r>
      <w:r w:rsidRPr="008A3CFB">
        <w:rPr>
          <w:iCs/>
          <w:spacing w:val="-2"/>
          <w:sz w:val="26"/>
          <w:szCs w:val="26"/>
        </w:rPr>
        <w:t>C</w:t>
      </w:r>
      <w:r w:rsidRPr="008A3CFB">
        <w:rPr>
          <w:sz w:val="26"/>
          <w:szCs w:val="26"/>
          <w:lang w:val="nl-NL"/>
        </w:rPr>
        <w:t xml:space="preserve">án bộ, giảng viên trường Sư phạm đã tham gia giảng dạy với một khối lượng giờ dạy rất lớn cho tất cả các bậc, loại hình đào tạo với tổng số lớp học phần là gần </w:t>
      </w:r>
      <w:r w:rsidRPr="00921011">
        <w:rPr>
          <w:sz w:val="26"/>
          <w:szCs w:val="26"/>
          <w:lang w:val="nl-NL"/>
        </w:rPr>
        <w:t>2.000 lớp</w:t>
      </w:r>
      <w:r w:rsidRPr="008A3CFB">
        <w:rPr>
          <w:sz w:val="26"/>
          <w:szCs w:val="26"/>
          <w:lang w:val="nl-NL"/>
        </w:rPr>
        <w:t>,</w:t>
      </w:r>
      <w:r w:rsidRPr="008A3CFB">
        <w:rPr>
          <w:rFonts w:eastAsia="Calibri"/>
          <w:sz w:val="26"/>
          <w:szCs w:val="26"/>
          <w:lang w:val="pt-BR"/>
        </w:rPr>
        <w:t xml:space="preserve"> đảm bảo đúng tiến độ và có chất lượng</w:t>
      </w:r>
      <w:r w:rsidRPr="008A3CFB">
        <w:rPr>
          <w:rFonts w:eastAsia="Calibri"/>
          <w:sz w:val="26"/>
          <w:szCs w:val="26"/>
          <w:vertAlign w:val="superscript"/>
        </w:rPr>
        <w:footnoteReference w:id="2"/>
      </w:r>
      <w:r w:rsidRPr="008A3CFB">
        <w:rPr>
          <w:rFonts w:eastAsia="Calibri"/>
          <w:sz w:val="26"/>
          <w:szCs w:val="26"/>
          <w:lang w:val="pt-BR"/>
        </w:rPr>
        <w:t xml:space="preserve">. </w:t>
      </w:r>
    </w:p>
    <w:p w14:paraId="0C76F281" w14:textId="77777777" w:rsidR="003F4A18" w:rsidRPr="008A3CFB" w:rsidRDefault="003F4A18" w:rsidP="003F4A18">
      <w:pPr>
        <w:pStyle w:val="BodyText"/>
        <w:widowControl w:val="0"/>
        <w:spacing w:before="60" w:after="60" w:line="26" w:lineRule="atLeast"/>
        <w:ind w:firstLine="720"/>
        <w:rPr>
          <w:rFonts w:ascii="Times New Roman" w:hAnsi="Times New Roman"/>
          <w:b/>
          <w:bCs/>
          <w:iCs/>
          <w:spacing w:val="-2"/>
          <w:sz w:val="26"/>
          <w:szCs w:val="26"/>
          <w:lang w:val="vi-VN"/>
        </w:rPr>
      </w:pPr>
      <w:r w:rsidRPr="008A3CFB">
        <w:rPr>
          <w:rFonts w:ascii="Times New Roman" w:hAnsi="Times New Roman"/>
          <w:iCs/>
          <w:spacing w:val="-2"/>
          <w:sz w:val="26"/>
          <w:szCs w:val="26"/>
        </w:rPr>
        <w:t xml:space="preserve">- </w:t>
      </w:r>
      <w:r w:rsidRPr="008A3CFB">
        <w:rPr>
          <w:rFonts w:ascii="Times New Roman" w:hAnsi="Times New Roman"/>
          <w:iCs/>
          <w:spacing w:val="-2"/>
          <w:sz w:val="26"/>
          <w:szCs w:val="26"/>
          <w:lang w:val="vi-VN"/>
        </w:rPr>
        <w:t xml:space="preserve">Để đáp ứng nhu cầu xã hội, </w:t>
      </w:r>
      <w:r w:rsidRPr="008A3CFB">
        <w:rPr>
          <w:rFonts w:ascii="Times New Roman" w:hAnsi="Times New Roman"/>
          <w:iCs/>
          <w:spacing w:val="-2"/>
          <w:sz w:val="26"/>
          <w:szCs w:val="26"/>
          <w:lang w:val="pt-BR"/>
        </w:rPr>
        <w:t>các đơn vị</w:t>
      </w:r>
      <w:r w:rsidRPr="008A3CFB">
        <w:rPr>
          <w:rFonts w:ascii="Times New Roman" w:hAnsi="Times New Roman"/>
          <w:iCs/>
          <w:spacing w:val="-2"/>
          <w:sz w:val="26"/>
          <w:szCs w:val="26"/>
          <w:lang w:val="vi-VN"/>
        </w:rPr>
        <w:t xml:space="preserve"> đang tiến hành rà soát, cập nhật, chỉnh sửa mục tiêu, chuẩn đầu ra và nội dung chương trình dạy học căn cứ vào yêu cầu của chương trình phổ thông mới. Trong đó, tăng thời lượng và nội dung dạy học theo hình thức dự án/đồ án, thêm thời lượng cho nội dung rèn luyện NVSP thường xuyên, giảm kiến thức hàn lâm và tăng kiến thức gắn liền với thực tiễn.</w:t>
      </w:r>
    </w:p>
    <w:p w14:paraId="4A41F483" w14:textId="77777777" w:rsidR="003F4A18" w:rsidRPr="008A3CFB" w:rsidRDefault="003F4A18" w:rsidP="003F4A18">
      <w:pPr>
        <w:pStyle w:val="BodyText"/>
        <w:widowControl w:val="0"/>
        <w:spacing w:before="60" w:after="60" w:line="26" w:lineRule="atLeast"/>
        <w:ind w:firstLine="720"/>
        <w:rPr>
          <w:rFonts w:ascii="Times New Roman" w:hAnsi="Times New Roman"/>
          <w:b/>
          <w:bCs/>
          <w:iCs/>
          <w:spacing w:val="-2"/>
          <w:sz w:val="26"/>
          <w:szCs w:val="26"/>
          <w:lang w:val="vi-VN"/>
        </w:rPr>
      </w:pPr>
      <w:r w:rsidRPr="008A3CFB">
        <w:rPr>
          <w:rFonts w:ascii="Times New Roman" w:hAnsi="Times New Roman"/>
          <w:iCs/>
          <w:spacing w:val="-2"/>
          <w:sz w:val="26"/>
          <w:szCs w:val="26"/>
        </w:rPr>
        <w:t xml:space="preserve">- </w:t>
      </w:r>
      <w:r w:rsidRPr="008A3CFB">
        <w:rPr>
          <w:rFonts w:ascii="Times New Roman" w:hAnsi="Times New Roman"/>
          <w:iCs/>
          <w:spacing w:val="-2"/>
          <w:sz w:val="26"/>
          <w:szCs w:val="26"/>
          <w:lang w:val="vi-VN"/>
        </w:rPr>
        <w:t xml:space="preserve">Công tác đổi mới phương pháp dạy học để nâng cao chất lương đào tạo đã được chú trọng, đặc biệt là tổ chức dạy học các khóa theo chương trình đào tạo tiếp cận CDIO. Nhiều giảng viên đã đổi mới phương pháp giảng dạy theo hướng phát triển năng lực sinh viên, nâng cao chất lượng đào tạo. Các bộ môn tổ chức tốt việc dự giờ thăm lớp. </w:t>
      </w:r>
    </w:p>
    <w:p w14:paraId="5F4E2186" w14:textId="77777777" w:rsidR="003F4A18" w:rsidRPr="008A3CFB" w:rsidRDefault="003F4A18" w:rsidP="003F4A18">
      <w:pPr>
        <w:pStyle w:val="BodyText"/>
        <w:widowControl w:val="0"/>
        <w:spacing w:before="60" w:after="60" w:line="26" w:lineRule="atLeast"/>
        <w:ind w:firstLine="720"/>
        <w:rPr>
          <w:rFonts w:ascii="Times New Roman" w:hAnsi="Times New Roman"/>
          <w:b/>
          <w:bCs/>
          <w:iCs/>
          <w:spacing w:val="-2"/>
          <w:sz w:val="26"/>
          <w:szCs w:val="26"/>
          <w:lang w:val="vi-VN"/>
        </w:rPr>
      </w:pPr>
      <w:r w:rsidRPr="008A3CFB">
        <w:rPr>
          <w:rFonts w:ascii="Times New Roman" w:hAnsi="Times New Roman"/>
          <w:iCs/>
          <w:spacing w:val="-2"/>
          <w:sz w:val="26"/>
          <w:szCs w:val="26"/>
        </w:rPr>
        <w:t xml:space="preserve">- </w:t>
      </w:r>
      <w:r w:rsidRPr="008A3CFB">
        <w:rPr>
          <w:rFonts w:ascii="Times New Roman" w:hAnsi="Times New Roman"/>
          <w:iCs/>
          <w:spacing w:val="-2"/>
          <w:sz w:val="26"/>
          <w:szCs w:val="26"/>
          <w:lang w:val="vi-VN"/>
        </w:rPr>
        <w:t xml:space="preserve">Trong giảng dạy giảng viên quan tâm hơn về các mặt: Phương pháp và nội dung trình bày, đánh giá tinh thần thái độ học tập của sinh viên, theo dõi kỷ luật trong giờ học, bám sát nội dung chương trình chi tiết học phần, viết tài liệu phục vụ dạy và học, thực hiện đúng lịch trình giảng dạy; triển khai giảng dạy và đánh giá đồ án cho các học phần theo chương trình tiếp cận CDIO. Giảng viên có nhiều nỗ lực tiếp cận cách đánh giá mới. Các nhóm giảng viên giảng dạy theo CDIO đều có nhóm trưởng phụ trách chuyên môn, trực tiếp điều hành hoạt động giảng dạy chung của nhóm. Các cán bộ giảng dạy đã cố gắng cập nhật các thông tin mới, kiến thức mới bổ sung vào bài giảng, sinh hoạt chuyên môn đều đặn và vận hành hiệu quả các phòng học chức năng. </w:t>
      </w:r>
    </w:p>
    <w:p w14:paraId="53690D03" w14:textId="015ED947" w:rsidR="003F4A18" w:rsidRPr="008A3CFB" w:rsidRDefault="003F4A18" w:rsidP="003F4A18">
      <w:pPr>
        <w:pStyle w:val="BodyText"/>
        <w:widowControl w:val="0"/>
        <w:spacing w:before="60" w:after="60" w:line="26" w:lineRule="atLeast"/>
        <w:ind w:firstLine="720"/>
        <w:rPr>
          <w:rFonts w:ascii="Times New Roman" w:hAnsi="Times New Roman"/>
          <w:b/>
          <w:sz w:val="26"/>
          <w:szCs w:val="26"/>
          <w:lang w:val="vi-VN"/>
        </w:rPr>
      </w:pPr>
      <w:r w:rsidRPr="008A3CFB">
        <w:rPr>
          <w:rFonts w:ascii="Times New Roman" w:hAnsi="Times New Roman"/>
          <w:sz w:val="26"/>
          <w:szCs w:val="26"/>
        </w:rPr>
        <w:t xml:space="preserve">- Trong năm vừa qua nhằm thực hiện phong trào thi đua "Đổi mới, sáng tạo trong dạy và học" và phát động phong trào thi đua </w:t>
      </w:r>
      <w:r w:rsidRPr="008A3CFB">
        <w:rPr>
          <w:rFonts w:ascii="Times New Roman" w:hAnsi="Times New Roman"/>
          <w:i/>
          <w:sz w:val="26"/>
          <w:szCs w:val="26"/>
        </w:rPr>
        <w:t>"Dạy tốt, học tốt"</w:t>
      </w:r>
      <w:r w:rsidRPr="008A3CFB">
        <w:rPr>
          <w:rFonts w:ascii="Times New Roman" w:hAnsi="Times New Roman"/>
          <w:sz w:val="26"/>
          <w:szCs w:val="26"/>
        </w:rPr>
        <w:t xml:space="preserve"> trong giảng viên, sinh viên và học viên nhằm nâng cao chất lượng đào tạo của nhà trường đặc biệt hoạt động dạy học cho sinh viên theo dự án, đồ án, Nhà trường đã triển khai nhiều hoạt động trong đó có Hội thi Năng lực sư phạm, gian hàng trưng bày được tổ chức. Ngoài ra, Nhà tr</w:t>
      </w:r>
      <w:r w:rsidR="003D443D" w:rsidRPr="008A3CFB">
        <w:rPr>
          <w:rFonts w:ascii="Times New Roman" w:hAnsi="Times New Roman"/>
          <w:sz w:val="26"/>
          <w:szCs w:val="26"/>
        </w:rPr>
        <w:t>ường</w:t>
      </w:r>
      <w:r w:rsidRPr="008A3CFB">
        <w:rPr>
          <w:rFonts w:ascii="Times New Roman" w:hAnsi="Times New Roman"/>
          <w:sz w:val="26"/>
          <w:szCs w:val="26"/>
        </w:rPr>
        <w:t xml:space="preserve"> cũng triển khai các hoạt động về nghiên cứu khoa học cho sinh viên sư phạm nhằm nâng cao chất lượng đào tạo nguồn nhân lực trình độ cao, góp phần phát hiện và bồi dưỡng nhân tài, tạo điều kiện cho sinh viên có cơ hội tiếp cận và vận dụng các phương pháp nghiên cứu khoa học để giải quyết một số vấn đề thực tiễn</w:t>
      </w:r>
      <w:r w:rsidRPr="008A3CFB">
        <w:rPr>
          <w:rFonts w:ascii="Times New Roman" w:hAnsi="Times New Roman"/>
          <w:sz w:val="26"/>
          <w:szCs w:val="26"/>
          <w:lang w:val="vi-VN"/>
        </w:rPr>
        <w:t xml:space="preserve"> </w:t>
      </w:r>
    </w:p>
    <w:p w14:paraId="0025052F" w14:textId="77777777" w:rsidR="003F4A18" w:rsidRPr="008A3CFB" w:rsidRDefault="003F4A18" w:rsidP="003F4A18">
      <w:pPr>
        <w:pStyle w:val="BodyText"/>
        <w:widowControl w:val="0"/>
        <w:spacing w:before="60" w:after="60" w:line="26" w:lineRule="atLeast"/>
        <w:ind w:firstLine="720"/>
        <w:rPr>
          <w:rFonts w:ascii="Times New Roman" w:hAnsi="Times New Roman"/>
          <w:b/>
          <w:bCs/>
          <w:iCs/>
          <w:spacing w:val="-2"/>
          <w:sz w:val="26"/>
          <w:szCs w:val="26"/>
          <w:lang w:val="vi-VN"/>
        </w:rPr>
      </w:pPr>
      <w:r w:rsidRPr="008A3CFB">
        <w:rPr>
          <w:rFonts w:ascii="Times New Roman" w:hAnsi="Times New Roman"/>
          <w:sz w:val="26"/>
          <w:szCs w:val="26"/>
        </w:rPr>
        <w:t xml:space="preserve">- </w:t>
      </w:r>
      <w:r w:rsidRPr="008A3CFB">
        <w:rPr>
          <w:rFonts w:ascii="Times New Roman" w:hAnsi="Times New Roman"/>
          <w:sz w:val="26"/>
          <w:szCs w:val="26"/>
          <w:lang w:val="vi-VN"/>
        </w:rPr>
        <w:t xml:space="preserve">Trong thời gian qua mạng lưới các trường vệ tinh trên địa bàn và các vùng lân cận được hình thành nhằm hướng dẫn thực hành, thực tập tốt nghiệp cho sinh viên, các đơn vị </w:t>
      </w:r>
      <w:r w:rsidRPr="008A3CFB">
        <w:rPr>
          <w:rFonts w:ascii="Times New Roman" w:hAnsi="Times New Roman"/>
          <w:sz w:val="26"/>
          <w:szCs w:val="26"/>
          <w:lang w:val="vi-VN"/>
        </w:rPr>
        <w:lastRenderedPageBreak/>
        <w:t>rất chú trọng đến công tác rèn nghề của sinh viên nên có sự phối hợp chặt chẽ với trường THSP, trường THPT Huỳnh Thúc Kháng, THPT chuyên Đại học Vinh … trong tổ chức thi giảng cho SV năm thứ tư trong đó SV được dạy trực tiếp cho HS tại các lớp theo thời khóa biểu và do các thầy, cô ở trường phổ thông đánh giá, chấm điểm</w:t>
      </w:r>
      <w:r w:rsidRPr="008A3CFB">
        <w:rPr>
          <w:rStyle w:val="FootnoteReference"/>
          <w:rFonts w:ascii="Times New Roman" w:hAnsi="Times New Roman"/>
          <w:sz w:val="26"/>
          <w:szCs w:val="26"/>
          <w:lang w:val="vi-VN"/>
        </w:rPr>
        <w:footnoteReference w:id="3"/>
      </w:r>
      <w:r w:rsidRPr="008A3CFB">
        <w:rPr>
          <w:rFonts w:ascii="Times New Roman" w:hAnsi="Times New Roman"/>
          <w:sz w:val="26"/>
          <w:szCs w:val="26"/>
          <w:lang w:val="vi-VN"/>
        </w:rPr>
        <w:t>.</w:t>
      </w:r>
      <w:r w:rsidRPr="008A3CFB">
        <w:rPr>
          <w:rFonts w:ascii="Times New Roman" w:hAnsi="Times New Roman"/>
          <w:sz w:val="26"/>
          <w:szCs w:val="26"/>
        </w:rPr>
        <w:t xml:space="preserve"> </w:t>
      </w:r>
    </w:p>
    <w:p w14:paraId="27448E6E" w14:textId="77777777" w:rsidR="003F4A18" w:rsidRPr="008A3CFB" w:rsidRDefault="003F4A18" w:rsidP="003F4A18">
      <w:pPr>
        <w:pStyle w:val="BodyText"/>
        <w:widowControl w:val="0"/>
        <w:spacing w:before="60" w:after="60" w:line="26" w:lineRule="atLeast"/>
        <w:ind w:firstLine="720"/>
        <w:rPr>
          <w:rFonts w:ascii="Times New Roman" w:hAnsi="Times New Roman"/>
          <w:b/>
          <w:bCs/>
          <w:sz w:val="26"/>
          <w:szCs w:val="26"/>
          <w:lang w:val="vi-VN"/>
        </w:rPr>
      </w:pPr>
      <w:r w:rsidRPr="008A3CFB">
        <w:rPr>
          <w:rFonts w:ascii="Times New Roman" w:hAnsi="Times New Roman"/>
          <w:sz w:val="26"/>
          <w:szCs w:val="26"/>
        </w:rPr>
        <w:t xml:space="preserve">- </w:t>
      </w:r>
      <w:r w:rsidRPr="008A3CFB">
        <w:rPr>
          <w:rFonts w:ascii="Times New Roman" w:hAnsi="Times New Roman"/>
          <w:sz w:val="26"/>
          <w:szCs w:val="26"/>
          <w:lang w:val="vi-VN"/>
        </w:rPr>
        <w:t>Công tác đào tạo liên quan đến việc sử dụng phòng thực hành, thí nghiệm được đôn đốc và bám sát. Chất lượng các tiết thực hành, thí nghiệm,… trong đào tạo các ngành của Trường được nâng cao. Các ngành đã tổ chức cho sinh viên tham gia tìm hiểu thực tế hoạt động dạy học và giáo dục tại các trường trên địa bàn. Các nhóm sinh viên đến trường THPT Chuyên quan sát, tìm hiểu và báo cáo kết quả dự giờ; thực hành giảng dạy một số tiết có sự tham gia hướng dẫn soạn giáo án, dự giờ và nhận xét của GV phổ thông và giảng viên chuyên ngành.</w:t>
      </w:r>
    </w:p>
    <w:p w14:paraId="0C18C7D7" w14:textId="77777777" w:rsidR="003F4A18" w:rsidRPr="008A3CFB" w:rsidRDefault="003F4A18" w:rsidP="003F4A18">
      <w:pPr>
        <w:pStyle w:val="BodyText"/>
        <w:widowControl w:val="0"/>
        <w:spacing w:before="60" w:after="60" w:line="26" w:lineRule="atLeast"/>
        <w:ind w:firstLine="720"/>
        <w:rPr>
          <w:rFonts w:ascii="Times New Roman" w:eastAsia="Calibri" w:hAnsi="Times New Roman"/>
          <w:b/>
          <w:bCs/>
          <w:sz w:val="26"/>
          <w:szCs w:val="26"/>
          <w:lang w:val="pt-BR"/>
        </w:rPr>
      </w:pPr>
      <w:r w:rsidRPr="008A3CFB">
        <w:rPr>
          <w:rFonts w:ascii="Times New Roman" w:eastAsia="Calibri" w:hAnsi="Times New Roman"/>
          <w:sz w:val="26"/>
          <w:szCs w:val="26"/>
          <w:lang w:val="nl-NL"/>
        </w:rPr>
        <w:t>- Công tác coi thi, chấm thi học phần và biên soạn bài giảng, câu hỏi thi học phần đã được các bộ môn, giảng viên thực hiện nghiêm túc.</w:t>
      </w:r>
      <w:r w:rsidRPr="008A3CFB">
        <w:rPr>
          <w:rFonts w:ascii="Times New Roman" w:eastAsia="Calibri" w:hAnsi="Times New Roman"/>
          <w:sz w:val="26"/>
          <w:szCs w:val="26"/>
          <w:lang w:val="pt-BR"/>
        </w:rPr>
        <w:t xml:space="preserve"> </w:t>
      </w:r>
      <w:r w:rsidRPr="008A3CFB">
        <w:rPr>
          <w:rFonts w:ascii="Times New Roman" w:eastAsia="Calibri" w:hAnsi="Times New Roman"/>
          <w:sz w:val="26"/>
          <w:szCs w:val="26"/>
          <w:lang w:val="de-DE"/>
        </w:rPr>
        <w:t xml:space="preserve">Công tác khảo thí được tổ chức bài bản, đúng quy định của Nhà trường và không xảy ra các vấn đề phát sinh hoặc vi phạm kỷ luật trong công tác tổ chức thi. </w:t>
      </w:r>
      <w:r w:rsidRPr="008A3CFB">
        <w:rPr>
          <w:rFonts w:ascii="Times New Roman" w:eastAsia="Calibri" w:hAnsi="Times New Roman"/>
          <w:sz w:val="26"/>
          <w:szCs w:val="26"/>
          <w:lang w:val="pt-BR"/>
        </w:rPr>
        <w:t>Công tác xây dựng, lưu trữ bài giảng liên tục được cập nhật, bổ sung cho cả hệ CQ, VHVL và SĐH.</w:t>
      </w:r>
    </w:p>
    <w:p w14:paraId="2DB7359C" w14:textId="3C1D9239" w:rsidR="003F4A18" w:rsidRPr="008A3CFB" w:rsidRDefault="003F4A18" w:rsidP="003F4A18">
      <w:pPr>
        <w:pStyle w:val="BodyText"/>
        <w:widowControl w:val="0"/>
        <w:spacing w:before="60" w:after="60" w:line="26" w:lineRule="atLeast"/>
        <w:ind w:firstLine="720"/>
        <w:rPr>
          <w:rFonts w:ascii="Times New Roman" w:eastAsia="Calibri" w:hAnsi="Times New Roman"/>
          <w:b/>
          <w:bCs/>
          <w:spacing w:val="-6"/>
          <w:sz w:val="26"/>
          <w:szCs w:val="26"/>
          <w:lang w:val="pt-BR"/>
        </w:rPr>
      </w:pPr>
      <w:r w:rsidRPr="008A3CFB">
        <w:rPr>
          <w:rFonts w:ascii="Times New Roman" w:eastAsia="Calibri" w:hAnsi="Times New Roman"/>
          <w:spacing w:val="-6"/>
          <w:sz w:val="26"/>
          <w:szCs w:val="26"/>
          <w:lang w:val="pt-BR"/>
        </w:rPr>
        <w:t>- Đào tạo SĐH tiếp tục thực hiện được nền nếp khi triển khai học các chuyên đề đúng tiến độ</w:t>
      </w:r>
      <w:r w:rsidRPr="008A3CFB">
        <w:rPr>
          <w:rStyle w:val="FootnoteReference"/>
          <w:rFonts w:ascii="Times New Roman" w:eastAsia="Calibri" w:hAnsi="Times New Roman"/>
          <w:spacing w:val="-6"/>
          <w:sz w:val="26"/>
          <w:szCs w:val="26"/>
          <w:lang w:val="pt-BR"/>
        </w:rPr>
        <w:footnoteReference w:id="4"/>
      </w:r>
      <w:r w:rsidRPr="008A3CFB">
        <w:rPr>
          <w:rFonts w:ascii="Times New Roman" w:eastAsia="Calibri" w:hAnsi="Times New Roman"/>
          <w:spacing w:val="-6"/>
          <w:sz w:val="26"/>
          <w:szCs w:val="26"/>
          <w:lang w:val="pt-BR"/>
        </w:rPr>
        <w:t>. Công tác tuyển sinh sau đại học cơ bản hoàn thành chỉ tiêu Nhà trường giao. Công tác xây dựng kế hoạch và quản lý đào tạo sau đại học đã được triển khai khoa học và đúng quy chế. Đã hoàn thành việc tổ chức bảo vệ luận văn thạc sĩ cho học viên cao học khóa 2</w:t>
      </w:r>
      <w:r w:rsidR="00F03CB0" w:rsidRPr="008A3CFB">
        <w:rPr>
          <w:rFonts w:ascii="Times New Roman" w:eastAsia="Calibri" w:hAnsi="Times New Roman"/>
          <w:spacing w:val="-6"/>
          <w:sz w:val="26"/>
          <w:szCs w:val="26"/>
          <w:lang w:val="pt-BR"/>
        </w:rPr>
        <w:t>9</w:t>
      </w:r>
      <w:r w:rsidRPr="008A3CFB">
        <w:rPr>
          <w:rFonts w:ascii="Times New Roman" w:eastAsia="Calibri" w:hAnsi="Times New Roman"/>
          <w:spacing w:val="-6"/>
          <w:sz w:val="26"/>
          <w:szCs w:val="26"/>
          <w:lang w:val="pt-BR"/>
        </w:rPr>
        <w:t xml:space="preserve">, tổ chức dạy học cho cao học khóa </w:t>
      </w:r>
      <w:r w:rsidR="0050487C" w:rsidRPr="008A3CFB">
        <w:rPr>
          <w:rFonts w:ascii="Times New Roman" w:eastAsia="Calibri" w:hAnsi="Times New Roman"/>
          <w:spacing w:val="-6"/>
          <w:sz w:val="26"/>
          <w:szCs w:val="26"/>
          <w:lang w:val="pt-BR"/>
        </w:rPr>
        <w:t>30 và khoá 31</w:t>
      </w:r>
      <w:r w:rsidRPr="008A3CFB">
        <w:rPr>
          <w:rFonts w:ascii="Times New Roman" w:eastAsia="Calibri" w:hAnsi="Times New Roman"/>
          <w:spacing w:val="-6"/>
          <w:sz w:val="26"/>
          <w:szCs w:val="26"/>
          <w:lang w:val="pt-BR"/>
        </w:rPr>
        <w:t xml:space="preserve"> ở tất cả các chuyên ngành theo hướng ứng dụng công nghệ thông tin trong đào tạo: sử dụng hệ thống E-learning để cung cấp bài giảng, tài liệu học tập, bài tập, chủ đề thảo luận và tương tác với học viên.</w:t>
      </w:r>
    </w:p>
    <w:p w14:paraId="6890657B" w14:textId="58DDD0AD" w:rsidR="003F4A18" w:rsidRPr="008A3CFB" w:rsidRDefault="003F4A18" w:rsidP="003F4A18">
      <w:pPr>
        <w:pStyle w:val="BodyText"/>
        <w:widowControl w:val="0"/>
        <w:spacing w:before="60" w:after="60" w:line="26" w:lineRule="atLeast"/>
        <w:ind w:firstLine="720"/>
        <w:rPr>
          <w:rFonts w:ascii="Times New Roman" w:eastAsia="Calibri" w:hAnsi="Times New Roman"/>
          <w:b/>
          <w:bCs/>
          <w:spacing w:val="-6"/>
          <w:sz w:val="26"/>
          <w:szCs w:val="26"/>
          <w:lang w:val="pt-BR"/>
        </w:rPr>
      </w:pPr>
      <w:r w:rsidRPr="008A3CFB">
        <w:rPr>
          <w:rFonts w:ascii="Times New Roman" w:eastAsia="Calibri" w:hAnsi="Times New Roman"/>
          <w:spacing w:val="-6"/>
          <w:sz w:val="26"/>
          <w:szCs w:val="26"/>
          <w:lang w:val="pt-BR"/>
        </w:rPr>
        <w:t>- Công tác bồi dưỡng cấp chứng chỉ cũng được đẩy mạnh, trong thời gian quan Trường Sư phạm cũng đã tham gia bồi dưỡng</w:t>
      </w:r>
      <w:r w:rsidR="00922E68" w:rsidRPr="008A3CFB">
        <w:rPr>
          <w:rFonts w:ascii="Times New Roman" w:eastAsia="Calibri" w:hAnsi="Times New Roman"/>
          <w:spacing w:val="-6"/>
          <w:sz w:val="26"/>
          <w:szCs w:val="26"/>
          <w:lang w:val="pt-BR"/>
        </w:rPr>
        <w:t xml:space="preserve"> giảng viên</w:t>
      </w:r>
      <w:r w:rsidR="00E87363" w:rsidRPr="008A3CFB">
        <w:rPr>
          <w:rFonts w:ascii="Times New Roman" w:eastAsia="Calibri" w:hAnsi="Times New Roman"/>
          <w:spacing w:val="-6"/>
          <w:sz w:val="26"/>
          <w:szCs w:val="26"/>
          <w:lang w:val="pt-BR"/>
        </w:rPr>
        <w:t>,</w:t>
      </w:r>
      <w:r w:rsidRPr="008A3CFB">
        <w:rPr>
          <w:rFonts w:ascii="Times New Roman" w:eastAsia="Calibri" w:hAnsi="Times New Roman"/>
          <w:spacing w:val="-6"/>
          <w:sz w:val="26"/>
          <w:szCs w:val="26"/>
          <w:lang w:val="pt-BR"/>
        </w:rPr>
        <w:t xml:space="preserve"> giáo viên</w:t>
      </w:r>
      <w:r w:rsidR="00E87363" w:rsidRPr="008A3CFB">
        <w:rPr>
          <w:rFonts w:ascii="Times New Roman" w:eastAsia="Calibri" w:hAnsi="Times New Roman"/>
          <w:spacing w:val="-6"/>
          <w:sz w:val="26"/>
          <w:szCs w:val="26"/>
          <w:lang w:val="pt-BR"/>
        </w:rPr>
        <w:t xml:space="preserve"> phổ thông</w:t>
      </w:r>
      <w:r w:rsidRPr="008A3CFB">
        <w:rPr>
          <w:rFonts w:ascii="Times New Roman" w:eastAsia="Calibri" w:hAnsi="Times New Roman"/>
          <w:spacing w:val="-6"/>
          <w:sz w:val="26"/>
          <w:szCs w:val="26"/>
          <w:lang w:val="pt-BR"/>
        </w:rPr>
        <w:t xml:space="preserve">, cán bộ quản lý giáo dục, </w:t>
      </w:r>
      <w:r w:rsidRPr="008A3CFB">
        <w:rPr>
          <w:rFonts w:ascii="Times New Roman" w:hAnsi="Times New Roman"/>
          <w:sz w:val="26"/>
          <w:szCs w:val="26"/>
        </w:rPr>
        <w:t>v</w:t>
      </w:r>
      <w:r w:rsidR="00A70E14" w:rsidRPr="008A3CFB">
        <w:rPr>
          <w:rFonts w:ascii="Times New Roman" w:hAnsi="Times New Roman"/>
          <w:sz w:val="26"/>
          <w:szCs w:val="26"/>
        </w:rPr>
        <w:t>à</w:t>
      </w:r>
      <w:r w:rsidRPr="00921011">
        <w:rPr>
          <w:rFonts w:ascii="Times New Roman" w:hAnsi="Times New Roman"/>
          <w:sz w:val="26"/>
          <w:szCs w:val="26"/>
        </w:rPr>
        <w:t xml:space="preserve"> </w:t>
      </w:r>
      <w:r w:rsidRPr="008A3CFB">
        <w:rPr>
          <w:rFonts w:ascii="Times New Roman" w:hAnsi="Times New Roman"/>
          <w:sz w:val="26"/>
          <w:szCs w:val="26"/>
        </w:rPr>
        <w:t>các chương trình bồi dưỡng cấp chứng chỉ và chứng nhận ngắn hạn</w:t>
      </w:r>
      <w:r w:rsidRPr="008A3CFB">
        <w:rPr>
          <w:rFonts w:ascii="Times New Roman" w:eastAsia="Calibri" w:hAnsi="Times New Roman"/>
          <w:spacing w:val="-6"/>
          <w:sz w:val="26"/>
          <w:szCs w:val="26"/>
          <w:lang w:val="pt-BR"/>
        </w:rPr>
        <w:t>.</w:t>
      </w:r>
    </w:p>
    <w:p w14:paraId="0692084A" w14:textId="119906E0" w:rsidR="003F4A18" w:rsidRPr="008A3CFB" w:rsidRDefault="003F4A18" w:rsidP="003F4A18">
      <w:pPr>
        <w:pStyle w:val="BodyText"/>
        <w:widowControl w:val="0"/>
        <w:spacing w:before="60" w:after="60" w:line="26" w:lineRule="atLeast"/>
        <w:ind w:firstLine="720"/>
        <w:rPr>
          <w:rFonts w:ascii="Times New Roman" w:eastAsia="Calibri" w:hAnsi="Times New Roman"/>
          <w:b/>
          <w:bCs/>
          <w:spacing w:val="-6"/>
          <w:sz w:val="26"/>
          <w:szCs w:val="26"/>
          <w:lang w:val="pt-BR"/>
        </w:rPr>
      </w:pPr>
      <w:r w:rsidRPr="008A3CFB">
        <w:rPr>
          <w:rFonts w:ascii="Times New Roman" w:eastAsia="Calibri" w:hAnsi="Times New Roman"/>
          <w:spacing w:val="-6"/>
          <w:sz w:val="26"/>
          <w:szCs w:val="26"/>
          <w:lang w:val="pt-BR"/>
        </w:rPr>
        <w:t>- Trong năm 202</w:t>
      </w:r>
      <w:r w:rsidR="0050487C" w:rsidRPr="008A3CFB">
        <w:rPr>
          <w:rFonts w:ascii="Times New Roman" w:eastAsia="Calibri" w:hAnsi="Times New Roman"/>
          <w:spacing w:val="-6"/>
          <w:sz w:val="26"/>
          <w:szCs w:val="26"/>
          <w:lang w:val="pt-BR"/>
        </w:rPr>
        <w:t>3</w:t>
      </w:r>
      <w:r w:rsidRPr="008A3CFB">
        <w:rPr>
          <w:rFonts w:ascii="Times New Roman" w:eastAsia="Calibri" w:hAnsi="Times New Roman"/>
          <w:spacing w:val="-6"/>
          <w:sz w:val="26"/>
          <w:szCs w:val="26"/>
          <w:lang w:val="pt-BR"/>
        </w:rPr>
        <w:t>, giảng viên các bộ môn tham gia giảng dạy tại các trường THPT Chuyên và trường THSP.</w:t>
      </w:r>
      <w:r w:rsidRPr="008A3CFB">
        <w:rPr>
          <w:rFonts w:ascii="Times New Roman" w:hAnsi="Times New Roman"/>
          <w:sz w:val="26"/>
          <w:szCs w:val="26"/>
          <w:lang w:val="pt-BR"/>
        </w:rPr>
        <w:t xml:space="preserve"> </w:t>
      </w:r>
      <w:r w:rsidRPr="008A3CFB">
        <w:rPr>
          <w:rFonts w:ascii="Times New Roman" w:eastAsia="Calibri" w:hAnsi="Times New Roman"/>
          <w:spacing w:val="-6"/>
          <w:sz w:val="26"/>
          <w:szCs w:val="26"/>
          <w:lang w:val="pt-BR"/>
        </w:rPr>
        <w:t>Tham gia xây dựng chương trình và giảng dạy tiếng Anh cho hệ THPT chất lượng cao các môn Toán, Vật lý, Hóa học và Sinh học,... Nhìn chung sự tham gia của đội ngũ giảng viên này đã hỗ trợ rất lớn và hiệu quả cho công tác đào tạo nói chung của các trường trực thuộc Trường ĐH Vinh, đặc biệt là việc giảng dạy các môn KHTN bằng tiếng Anh cho hệ CLC của Trường THPT Chuyên đã đi vào chiều sâu, bài bản và có chất lượng.</w:t>
      </w:r>
    </w:p>
    <w:p w14:paraId="2B54A1E0" w14:textId="77777777" w:rsidR="003F4A18" w:rsidRPr="008A3CFB" w:rsidRDefault="003F4A18" w:rsidP="003F4A18">
      <w:pPr>
        <w:widowControl w:val="0"/>
        <w:spacing w:before="60" w:after="60" w:line="26" w:lineRule="atLeast"/>
        <w:ind w:firstLine="720"/>
        <w:jc w:val="both"/>
        <w:rPr>
          <w:rFonts w:eastAsia="Calibri"/>
          <w:sz w:val="26"/>
          <w:szCs w:val="26"/>
          <w:lang w:val="pt-BR"/>
        </w:rPr>
      </w:pPr>
      <w:r w:rsidRPr="008A3CFB">
        <w:rPr>
          <w:rFonts w:eastAsia="Calibri"/>
          <w:sz w:val="26"/>
          <w:szCs w:val="26"/>
          <w:lang w:val="pt-BR"/>
        </w:rPr>
        <w:t>- Qua từng năm, chất lượng đào tạo, bồi dưỡng giáo viên, cán bộ quản lý giáo dục của Trường đã được nâng lên; sinh viên của Trường ra trường đã đáp ứng được yêu cầu của xã hội; uy tín về đào tạo giáo viên tiếp tục được khẳng định; địa bàn đào tạo, bồi dưỡng của Trường không những giữ vững mà ngày càng được mở rộng.</w:t>
      </w:r>
    </w:p>
    <w:p w14:paraId="6BFA1166" w14:textId="77777777" w:rsidR="003F4A18" w:rsidRPr="008A3CFB" w:rsidRDefault="003F4A18" w:rsidP="003F4A18">
      <w:pPr>
        <w:widowControl w:val="0"/>
        <w:spacing w:before="60" w:after="60" w:line="26" w:lineRule="atLeast"/>
        <w:jc w:val="both"/>
        <w:rPr>
          <w:b/>
          <w:bCs/>
          <w:spacing w:val="-2"/>
          <w:sz w:val="26"/>
          <w:szCs w:val="26"/>
          <w:lang w:val="nl-NL"/>
        </w:rPr>
      </w:pPr>
      <w:r w:rsidRPr="008A3CFB">
        <w:rPr>
          <w:b/>
          <w:bCs/>
          <w:sz w:val="26"/>
          <w:szCs w:val="26"/>
          <w:lang w:val="nl-NL"/>
        </w:rPr>
        <w:t>5. Công tác nghiên cứu khoa học và chuyển giao công nghệ</w:t>
      </w:r>
    </w:p>
    <w:p w14:paraId="737A579C" w14:textId="77777777" w:rsidR="003F4A18" w:rsidRPr="008A3CFB" w:rsidRDefault="003F4A18" w:rsidP="003F4A18">
      <w:pPr>
        <w:widowControl w:val="0"/>
        <w:spacing w:before="60" w:after="60" w:line="26" w:lineRule="atLeast"/>
        <w:ind w:firstLine="720"/>
        <w:jc w:val="both"/>
        <w:rPr>
          <w:bCs/>
          <w:iCs/>
          <w:spacing w:val="-2"/>
          <w:sz w:val="26"/>
          <w:szCs w:val="26"/>
          <w:lang w:val="nl-NL"/>
        </w:rPr>
      </w:pPr>
      <w:r w:rsidRPr="008A3CFB">
        <w:rPr>
          <w:bCs/>
          <w:iCs/>
          <w:spacing w:val="-2"/>
          <w:sz w:val="26"/>
          <w:szCs w:val="26"/>
          <w:lang w:val="nl-NL"/>
        </w:rPr>
        <w:t>- Công tác nghiên cứu khoa học luôn được các đơn vị chú trọng và đẩy mạnh. Cán bộ giảng viên, nghiên cứu sinh, học viên của Trường đã và đang chủ trì và tham gia thực hiện nhiều nhiệm vụ khoa học và công nghệ các cấp</w:t>
      </w:r>
      <w:r w:rsidRPr="008A3CFB">
        <w:rPr>
          <w:rStyle w:val="FootnoteReference"/>
          <w:bCs/>
          <w:iCs/>
          <w:spacing w:val="-2"/>
          <w:sz w:val="26"/>
          <w:szCs w:val="26"/>
        </w:rPr>
        <w:footnoteReference w:id="5"/>
      </w:r>
      <w:r w:rsidRPr="008A3CFB">
        <w:rPr>
          <w:bCs/>
          <w:iCs/>
          <w:spacing w:val="-2"/>
          <w:sz w:val="26"/>
          <w:szCs w:val="26"/>
          <w:lang w:val="nl-NL"/>
        </w:rPr>
        <w:t xml:space="preserve">. Các đề tài NCKH đã hoàn thành đúng tiến </w:t>
      </w:r>
      <w:r w:rsidRPr="008A3CFB">
        <w:rPr>
          <w:bCs/>
          <w:iCs/>
          <w:spacing w:val="-2"/>
          <w:sz w:val="26"/>
          <w:szCs w:val="26"/>
          <w:lang w:val="nl-NL"/>
        </w:rPr>
        <w:lastRenderedPageBreak/>
        <w:t xml:space="preserve">độ, đáp ứng tốt các yêu cầu đề ra, góp phần hoàn thành tốt các chương trình khoa học công nghệ của Nhà nước, của Bộ Giáo dục và Đào tạo và của Nhà trường. </w:t>
      </w:r>
    </w:p>
    <w:p w14:paraId="773BA5A3" w14:textId="2F39EEB1" w:rsidR="008910F6" w:rsidRPr="008A3CFB" w:rsidRDefault="003F4A18" w:rsidP="003F4A18">
      <w:pPr>
        <w:widowControl w:val="0"/>
        <w:spacing w:before="60" w:after="60" w:line="26" w:lineRule="atLeast"/>
        <w:ind w:firstLine="720"/>
        <w:jc w:val="both"/>
        <w:rPr>
          <w:bCs/>
          <w:iCs/>
          <w:spacing w:val="-2"/>
          <w:sz w:val="26"/>
          <w:szCs w:val="26"/>
          <w:lang w:val="nl-NL"/>
        </w:rPr>
      </w:pPr>
      <w:r w:rsidRPr="008A3CFB">
        <w:rPr>
          <w:bCs/>
          <w:iCs/>
          <w:spacing w:val="-2"/>
          <w:sz w:val="26"/>
          <w:szCs w:val="26"/>
          <w:lang w:val="nl-NL"/>
        </w:rPr>
        <w:t>- Các đề tài được thực hiện đã đóng góp lớn cho nhiệm vụ đào tạo bồi dưỡng cán bộ, đặc biệt là cán bộ trẻ. Thông qua, sự hỗ trợ của các đề tài các nghiên cứu sinh, học viên cao học của Trường đã có điều kiện hơn để tập trung học tập, nghiên cứu và đạt được nhiều kết quả nổi bật hơn thời gian trước, sự thay đổi rõ rệt nhất là hầu hết các cán bộ trẻ, nghiên cứu sinh của Trường đã có công trình công bố trên các tạp chí quốc tế (thuộc danh mục ISI). Nhiều giảng viên được khen thưởng cho các thành tích nghiên cứu của mình ở cấp tỉnh, cấp Bộ và cấp Nhà nước. Các giảng viên thuộc lĩnh vực Khoa học Giáo dục đã có một số công bố trên tạp chí quốc tế nằm trong danh mục Scopus.</w:t>
      </w:r>
      <w:r w:rsidR="008910F6" w:rsidRPr="008A3CFB">
        <w:rPr>
          <w:bCs/>
          <w:iCs/>
          <w:spacing w:val="-2"/>
          <w:sz w:val="26"/>
          <w:szCs w:val="26"/>
          <w:lang w:val="nl-NL"/>
        </w:rPr>
        <w:t xml:space="preserve"> </w:t>
      </w:r>
      <w:r w:rsidR="00665EC7" w:rsidRPr="008A3CFB">
        <w:rPr>
          <w:bCs/>
          <w:iCs/>
          <w:spacing w:val="-2"/>
          <w:sz w:val="26"/>
          <w:szCs w:val="26"/>
          <w:lang w:val="nl-NL"/>
        </w:rPr>
        <w:t>N</w:t>
      </w:r>
      <w:r w:rsidR="008910F6" w:rsidRPr="008A3CFB">
        <w:rPr>
          <w:bCs/>
          <w:iCs/>
          <w:spacing w:val="-2"/>
          <w:sz w:val="26"/>
          <w:szCs w:val="26"/>
          <w:lang w:val="nl-NL"/>
        </w:rPr>
        <w:t xml:space="preserve">ăm 2023 được Bộ trưởng </w:t>
      </w:r>
      <w:r w:rsidR="00665EC7" w:rsidRPr="008A3CFB">
        <w:rPr>
          <w:bCs/>
          <w:iCs/>
          <w:spacing w:val="-2"/>
          <w:sz w:val="26"/>
          <w:szCs w:val="26"/>
          <w:lang w:val="nl-NL"/>
        </w:rPr>
        <w:t>B</w:t>
      </w:r>
      <w:r w:rsidR="008910F6" w:rsidRPr="008A3CFB">
        <w:rPr>
          <w:bCs/>
          <w:iCs/>
          <w:spacing w:val="-2"/>
          <w:sz w:val="26"/>
          <w:szCs w:val="26"/>
          <w:lang w:val="nl-NL"/>
        </w:rPr>
        <w:t>ộ GD và Đ</w:t>
      </w:r>
      <w:r w:rsidR="00665EC7" w:rsidRPr="008A3CFB">
        <w:rPr>
          <w:bCs/>
          <w:iCs/>
          <w:spacing w:val="-2"/>
          <w:sz w:val="26"/>
          <w:szCs w:val="26"/>
          <w:lang w:val="nl-NL"/>
        </w:rPr>
        <w:t>T tặng bằng khen vì có thành tích xuất sắc trong tổ chức hoạt động của sinh viên NCKH.</w:t>
      </w:r>
    </w:p>
    <w:p w14:paraId="410EB33B" w14:textId="7F2C8A4A" w:rsidR="003F4A18" w:rsidRPr="008A3CFB" w:rsidRDefault="003F4A18" w:rsidP="003F4A18">
      <w:pPr>
        <w:pStyle w:val="Heading1"/>
        <w:widowControl w:val="0"/>
        <w:shd w:val="clear" w:color="auto" w:fill="FFFFFF"/>
        <w:spacing w:before="60" w:after="60" w:line="26" w:lineRule="atLeast"/>
        <w:jc w:val="both"/>
        <w:rPr>
          <w:b w:val="0"/>
          <w:sz w:val="26"/>
          <w:szCs w:val="26"/>
        </w:rPr>
      </w:pPr>
      <w:r w:rsidRPr="008A3CFB">
        <w:rPr>
          <w:b w:val="0"/>
          <w:iCs/>
          <w:spacing w:val="-2"/>
          <w:sz w:val="26"/>
          <w:szCs w:val="26"/>
          <w:lang w:val="nl-NL"/>
        </w:rPr>
        <w:tab/>
        <w:t xml:space="preserve">- Đã tổ chức thành công </w:t>
      </w:r>
      <w:r w:rsidRPr="008A3CFB">
        <w:rPr>
          <w:b w:val="0"/>
          <w:sz w:val="26"/>
          <w:szCs w:val="26"/>
        </w:rPr>
        <w:t>Hội thảo về “</w:t>
      </w:r>
      <w:r w:rsidR="004D0086" w:rsidRPr="008A3CFB">
        <w:rPr>
          <w:b w:val="0"/>
          <w:sz w:val="26"/>
          <w:szCs w:val="26"/>
        </w:rPr>
        <w:t xml:space="preserve"> </w:t>
      </w:r>
      <w:r w:rsidR="00706C6C" w:rsidRPr="008A3CFB">
        <w:rPr>
          <w:b w:val="0"/>
          <w:sz w:val="26"/>
          <w:szCs w:val="26"/>
        </w:rPr>
        <w:t>Ph</w:t>
      </w:r>
      <w:r w:rsidR="004D0086" w:rsidRPr="008A3CFB">
        <w:rPr>
          <w:b w:val="0"/>
          <w:sz w:val="26"/>
          <w:szCs w:val="26"/>
        </w:rPr>
        <w:t xml:space="preserve">át triển </w:t>
      </w:r>
      <w:r w:rsidR="00875077" w:rsidRPr="008A3CFB">
        <w:rPr>
          <w:b w:val="0"/>
          <w:sz w:val="26"/>
          <w:szCs w:val="26"/>
        </w:rPr>
        <w:t>mạng lưới liên kết các cơ sở chăm sóc, can thiệp và giáo dục cho trẻ có nhu cầu đặc biệt</w:t>
      </w:r>
      <w:r w:rsidRPr="008A3CFB">
        <w:rPr>
          <w:b w:val="0"/>
          <w:sz w:val="26"/>
          <w:szCs w:val="26"/>
        </w:rPr>
        <w:t xml:space="preserve">” </w:t>
      </w:r>
      <w:r w:rsidR="003913A3" w:rsidRPr="008A3CFB">
        <w:rPr>
          <w:b w:val="0"/>
          <w:sz w:val="26"/>
          <w:szCs w:val="26"/>
        </w:rPr>
        <w:t>Hội nghị Phát triển trương trình đào tạo sau đại học ngành Quản lý giáo dục</w:t>
      </w:r>
      <w:r w:rsidR="002C2D93" w:rsidRPr="008A3CFB">
        <w:rPr>
          <w:b w:val="0"/>
          <w:sz w:val="26"/>
          <w:szCs w:val="26"/>
        </w:rPr>
        <w:t>,</w:t>
      </w:r>
      <w:r w:rsidR="003913A3" w:rsidRPr="00921011">
        <w:rPr>
          <w:b w:val="0"/>
          <w:sz w:val="26"/>
          <w:szCs w:val="26"/>
        </w:rPr>
        <w:t xml:space="preserve"> </w:t>
      </w:r>
      <w:r w:rsidRPr="008A3CFB">
        <w:rPr>
          <w:b w:val="0"/>
          <w:sz w:val="26"/>
          <w:szCs w:val="26"/>
        </w:rPr>
        <w:t>được sự quan tâm của nhiều nhà khoa học trên cả nước.</w:t>
      </w:r>
    </w:p>
    <w:p w14:paraId="6BFEAB9B" w14:textId="77777777" w:rsidR="003F4A18" w:rsidRPr="008A3CFB" w:rsidRDefault="003F4A18" w:rsidP="003F4A18">
      <w:pPr>
        <w:widowControl w:val="0"/>
        <w:spacing w:before="60" w:after="60" w:line="26" w:lineRule="atLeast"/>
        <w:ind w:firstLine="720"/>
        <w:jc w:val="both"/>
        <w:rPr>
          <w:bCs/>
          <w:iCs/>
          <w:spacing w:val="-2"/>
          <w:sz w:val="26"/>
          <w:szCs w:val="26"/>
          <w:lang w:val="nl-NL"/>
        </w:rPr>
      </w:pPr>
      <w:r w:rsidRPr="008A3CFB">
        <w:rPr>
          <w:bCs/>
          <w:iCs/>
          <w:spacing w:val="-2"/>
          <w:sz w:val="26"/>
          <w:szCs w:val="26"/>
          <w:lang w:val="nl-NL"/>
        </w:rPr>
        <w:t>- Các ngành hiện vẫn duy trì các mối quan hệ, hợp tác với các đơn vị trong và ngoài nước: Trường đại học Zielona Gora (Ba Lan), Viện Hàn lâm khoa học công nghệ Việt Nam, Viện nghiên cứu cao cấp về Toán, Trung tâm Vật lý lý thuyết ICTP (Italy), Viện Hàn lâm Khoa học xã hội Việt Nam, Học viện QLGD …</w:t>
      </w:r>
    </w:p>
    <w:p w14:paraId="530669F1" w14:textId="77777777" w:rsidR="003F4A18" w:rsidRPr="008A3CFB" w:rsidRDefault="003F4A18" w:rsidP="003F4A18">
      <w:pPr>
        <w:widowControl w:val="0"/>
        <w:spacing w:before="60" w:after="60" w:line="26" w:lineRule="atLeast"/>
        <w:jc w:val="both"/>
        <w:rPr>
          <w:b/>
          <w:iCs/>
          <w:spacing w:val="-2"/>
          <w:sz w:val="26"/>
          <w:szCs w:val="26"/>
          <w:lang w:val="nl-NL"/>
        </w:rPr>
      </w:pPr>
      <w:r w:rsidRPr="008A3CFB">
        <w:rPr>
          <w:b/>
          <w:iCs/>
          <w:spacing w:val="-2"/>
          <w:sz w:val="26"/>
          <w:szCs w:val="26"/>
          <w:lang w:val="nl-NL"/>
        </w:rPr>
        <w:t>6. Công tác phát triển đội ngũ</w:t>
      </w:r>
    </w:p>
    <w:p w14:paraId="381B150C" w14:textId="65F842C7" w:rsidR="003F4A18" w:rsidRPr="008A3CFB" w:rsidRDefault="003F4A18" w:rsidP="003F4A18">
      <w:pPr>
        <w:widowControl w:val="0"/>
        <w:spacing w:before="60" w:after="60" w:line="26" w:lineRule="atLeast"/>
        <w:ind w:firstLine="720"/>
        <w:jc w:val="both"/>
        <w:rPr>
          <w:bCs/>
          <w:i/>
          <w:spacing w:val="-2"/>
          <w:sz w:val="26"/>
          <w:szCs w:val="26"/>
          <w:lang w:val="nl-NL"/>
        </w:rPr>
      </w:pPr>
      <w:r w:rsidRPr="008A3CFB">
        <w:rPr>
          <w:bCs/>
          <w:sz w:val="26"/>
          <w:szCs w:val="26"/>
          <w:lang w:val="nl-NL"/>
        </w:rPr>
        <w:t>- Trong năm 202</w:t>
      </w:r>
      <w:r w:rsidR="003913A3" w:rsidRPr="008A3CFB">
        <w:rPr>
          <w:bCs/>
          <w:sz w:val="26"/>
          <w:szCs w:val="26"/>
          <w:lang w:val="nl-NL"/>
        </w:rPr>
        <w:t>3</w:t>
      </w:r>
      <w:r w:rsidRPr="008A3CFB">
        <w:rPr>
          <w:bCs/>
          <w:sz w:val="26"/>
          <w:szCs w:val="26"/>
          <w:lang w:val="nl-NL"/>
        </w:rPr>
        <w:t>, công tác tổ chức và cán bộ luôn được các đơn vị đặc biệt quan tâm, ưu tiên chăm lo xây dựng đội ngũ CBGD nhằm đảm bảo đủ về số lượng, đồng bộ về cơ cấu và chất lượng ngày càng cao, là cơ sở vững chắc để Trường phát triển bền vững. Các đơn vị luôn tạo động lực, động viên, khuyến khích và tạo điều kiện cho cán bộ trong đơn vị tham gia học và tự học để nâng cao trình độ, có cơ chế khuyến khích về thời gian, sắp xếp công việc và cử đi đào tạo, bồi dưỡng nâng cao chuyên môn nghiệp vụ. Có thể nói, trong năm vừa qua, công tác bồi dưỡng, đào tạo đội ngũ cán bộ giảng viên của các đơn vị đã có nhiều tiến bộ, góp phần quan trọng trong việc nâng cao chất lượng đào tạo và nghiên cứu khoa học.</w:t>
      </w:r>
    </w:p>
    <w:p w14:paraId="020346AE" w14:textId="77777777" w:rsidR="003F4A18" w:rsidRPr="008A3CFB" w:rsidRDefault="003F4A18" w:rsidP="003F4A18">
      <w:pPr>
        <w:widowControl w:val="0"/>
        <w:spacing w:before="60" w:after="60" w:line="26" w:lineRule="atLeast"/>
        <w:ind w:firstLine="720"/>
        <w:jc w:val="both"/>
        <w:rPr>
          <w:bCs/>
          <w:sz w:val="26"/>
          <w:szCs w:val="26"/>
          <w:lang w:val="nl-NL"/>
        </w:rPr>
      </w:pPr>
      <w:r w:rsidRPr="008A3CFB">
        <w:rPr>
          <w:bCs/>
          <w:sz w:val="26"/>
          <w:szCs w:val="26"/>
          <w:lang w:val="nl-NL"/>
        </w:rPr>
        <w:t xml:space="preserve">- Các đơn vị đã tiến hành khảo sát nhu cầu đào tạo, bồi dưỡng ở các khoa đào tạo; xây dựng đề án vị trí việc làm phù hợp, tăng cường phân quyền cho các đơn vị trong điều hành kế hoạch, tổ chức thực hiện kế hoạch. </w:t>
      </w:r>
    </w:p>
    <w:p w14:paraId="52BB221B" w14:textId="77777777" w:rsidR="003F4A18" w:rsidRPr="008A3CFB" w:rsidRDefault="003F4A18" w:rsidP="003F4A18">
      <w:pPr>
        <w:widowControl w:val="0"/>
        <w:spacing w:before="60" w:after="60" w:line="26" w:lineRule="atLeast"/>
        <w:ind w:firstLine="720"/>
        <w:jc w:val="both"/>
        <w:rPr>
          <w:bCs/>
          <w:sz w:val="26"/>
          <w:szCs w:val="26"/>
          <w:lang w:val="nl-NL"/>
        </w:rPr>
      </w:pPr>
      <w:r w:rsidRPr="008A3CFB">
        <w:rPr>
          <w:bCs/>
          <w:sz w:val="26"/>
          <w:szCs w:val="26"/>
          <w:lang w:val="nl-NL"/>
        </w:rPr>
        <w:t>- Các đơn vị đào tạo đều được sắp xếp dựa trên chức năng, nhiệm vụ đào tạo Đại học và Sau đại học</w:t>
      </w:r>
      <w:r w:rsidRPr="008A3CFB">
        <w:rPr>
          <w:bCs/>
          <w:iCs/>
          <w:spacing w:val="-2"/>
          <w:sz w:val="26"/>
          <w:szCs w:val="26"/>
          <w:lang w:val="nl-NL"/>
        </w:rPr>
        <w:t>.</w:t>
      </w:r>
      <w:r w:rsidRPr="008A3CFB">
        <w:rPr>
          <w:bCs/>
          <w:sz w:val="26"/>
          <w:szCs w:val="26"/>
          <w:lang w:val="nl-NL"/>
        </w:rPr>
        <w:t xml:space="preserve"> </w:t>
      </w:r>
      <w:r w:rsidRPr="008A3CFB">
        <w:rPr>
          <w:bCs/>
          <w:iCs/>
          <w:spacing w:val="-2"/>
          <w:sz w:val="26"/>
          <w:szCs w:val="26"/>
          <w:lang w:val="nl-NL"/>
        </w:rPr>
        <w:t>Công tác phân công giảng dạy, bố trí chuyên môn được các đơn vị thực hiện phù hợp với chức năng, nhiệm vụ, cơ cấu tổ chức</w:t>
      </w:r>
      <w:r w:rsidRPr="008A3CFB">
        <w:rPr>
          <w:bCs/>
          <w:i/>
          <w:spacing w:val="-2"/>
          <w:sz w:val="26"/>
          <w:szCs w:val="26"/>
          <w:lang w:val="nl-NL"/>
        </w:rPr>
        <w:t>.</w:t>
      </w:r>
    </w:p>
    <w:p w14:paraId="701835AF" w14:textId="77777777" w:rsidR="003F4A18" w:rsidRPr="008A3CFB" w:rsidRDefault="003F4A18" w:rsidP="003F4A18">
      <w:pPr>
        <w:widowControl w:val="0"/>
        <w:spacing w:before="60" w:after="60" w:line="26" w:lineRule="atLeast"/>
        <w:ind w:firstLine="720"/>
        <w:jc w:val="both"/>
        <w:rPr>
          <w:bCs/>
          <w:sz w:val="26"/>
          <w:szCs w:val="26"/>
          <w:lang w:val="nl-NL"/>
        </w:rPr>
      </w:pPr>
      <w:r w:rsidRPr="008A3CFB">
        <w:rPr>
          <w:bCs/>
          <w:sz w:val="26"/>
          <w:szCs w:val="26"/>
          <w:lang w:val="nl-NL"/>
        </w:rPr>
        <w:t>- Công tác xếp loại viên chức hàng tháng và xét các danh hiệu thi đua trong năm học cho các tập thể và cá nhân được thực hiện theo đúng quy định công bằng và dân chủ. Cơ cấu tổ chức của các đơn vị trong năm học tương đối ổn định</w:t>
      </w:r>
      <w:r w:rsidRPr="008A3CFB">
        <w:rPr>
          <w:rStyle w:val="FootnoteReference"/>
          <w:bCs/>
          <w:sz w:val="26"/>
          <w:szCs w:val="26"/>
        </w:rPr>
        <w:footnoteReference w:id="6"/>
      </w:r>
      <w:r w:rsidRPr="008A3CFB">
        <w:rPr>
          <w:bCs/>
          <w:sz w:val="26"/>
          <w:szCs w:val="26"/>
          <w:lang w:val="nl-NL"/>
        </w:rPr>
        <w:t xml:space="preserve">. </w:t>
      </w:r>
    </w:p>
    <w:p w14:paraId="6BD05D2D" w14:textId="2000FDC3" w:rsidR="003F4A18" w:rsidRPr="008A3CFB" w:rsidRDefault="003F4A18" w:rsidP="003F4A18">
      <w:pPr>
        <w:widowControl w:val="0"/>
        <w:spacing w:before="60" w:after="60" w:line="26" w:lineRule="atLeast"/>
        <w:ind w:firstLine="720"/>
        <w:jc w:val="both"/>
        <w:rPr>
          <w:bCs/>
          <w:i/>
          <w:spacing w:val="-2"/>
          <w:sz w:val="26"/>
          <w:szCs w:val="26"/>
          <w:lang w:val="nl-NL"/>
        </w:rPr>
      </w:pPr>
      <w:r w:rsidRPr="008A3CFB">
        <w:rPr>
          <w:bCs/>
          <w:sz w:val="26"/>
          <w:szCs w:val="26"/>
          <w:lang w:val="nl-NL"/>
        </w:rPr>
        <w:lastRenderedPageBreak/>
        <w:t>- Trong năm 202</w:t>
      </w:r>
      <w:r w:rsidR="00673B72" w:rsidRPr="008A3CFB">
        <w:rPr>
          <w:bCs/>
          <w:sz w:val="26"/>
          <w:szCs w:val="26"/>
          <w:lang w:val="nl-NL"/>
        </w:rPr>
        <w:t>3</w:t>
      </w:r>
      <w:r w:rsidRPr="008A3CFB">
        <w:rPr>
          <w:bCs/>
          <w:sz w:val="26"/>
          <w:szCs w:val="26"/>
          <w:lang w:val="nl-NL"/>
        </w:rPr>
        <w:t>, các đơn vị đã tiến hành quy hoạch CNQL nhiệm kỳ 2020</w:t>
      </w:r>
      <w:r w:rsidR="005512DF" w:rsidRPr="008A3CFB">
        <w:rPr>
          <w:bCs/>
          <w:sz w:val="26"/>
          <w:szCs w:val="26"/>
          <w:lang w:val="nl-NL"/>
        </w:rPr>
        <w:t xml:space="preserve"> </w:t>
      </w:r>
      <w:r w:rsidRPr="008A3CFB">
        <w:rPr>
          <w:bCs/>
          <w:sz w:val="26"/>
          <w:szCs w:val="26"/>
          <w:lang w:val="nl-NL"/>
        </w:rPr>
        <w:t>-</w:t>
      </w:r>
      <w:r w:rsidR="005512DF" w:rsidRPr="008A3CFB">
        <w:rPr>
          <w:bCs/>
          <w:sz w:val="26"/>
          <w:szCs w:val="26"/>
          <w:lang w:val="nl-NL"/>
        </w:rPr>
        <w:t xml:space="preserve"> </w:t>
      </w:r>
      <w:r w:rsidRPr="008A3CFB">
        <w:rPr>
          <w:bCs/>
          <w:sz w:val="26"/>
          <w:szCs w:val="26"/>
          <w:lang w:val="nl-NL"/>
        </w:rPr>
        <w:t>2025 và nhiệm kỳ 2025</w:t>
      </w:r>
      <w:r w:rsidR="005512DF" w:rsidRPr="008A3CFB">
        <w:rPr>
          <w:bCs/>
          <w:sz w:val="26"/>
          <w:szCs w:val="26"/>
          <w:lang w:val="nl-NL"/>
        </w:rPr>
        <w:t xml:space="preserve"> </w:t>
      </w:r>
      <w:r w:rsidRPr="008A3CFB">
        <w:rPr>
          <w:bCs/>
          <w:sz w:val="26"/>
          <w:szCs w:val="26"/>
          <w:lang w:val="nl-NL"/>
        </w:rPr>
        <w:t>-</w:t>
      </w:r>
      <w:r w:rsidR="005512DF" w:rsidRPr="008A3CFB">
        <w:rPr>
          <w:bCs/>
          <w:sz w:val="26"/>
          <w:szCs w:val="26"/>
          <w:lang w:val="nl-NL"/>
        </w:rPr>
        <w:t xml:space="preserve"> </w:t>
      </w:r>
      <w:r w:rsidRPr="008A3CFB">
        <w:rPr>
          <w:bCs/>
          <w:sz w:val="26"/>
          <w:szCs w:val="26"/>
          <w:lang w:val="nl-NL"/>
        </w:rPr>
        <w:t>2030, công tác quy hoạch, giới thiệu, bổ nhiệm nhân sự lãnh đạo của các đơn vị đã thực hiện theo sự chỉ đạo của Đảng ủy, Ban Giám hiệu, đúng quy trình, đảm bảo tính ổn định, kế thừa và phát triển; tạo được không khí đoàn kết, nhất trí trong toàn đơn vị. Các đơn vị cũng đảm bảo sự phân công lao động theo năng lực và cân bằng mặt bằng lao động.</w:t>
      </w:r>
    </w:p>
    <w:p w14:paraId="3393890D" w14:textId="5EBD930B" w:rsidR="003F4A18" w:rsidRPr="008A3CFB" w:rsidRDefault="003F4A18" w:rsidP="003F4A18">
      <w:pPr>
        <w:widowControl w:val="0"/>
        <w:spacing w:before="60" w:after="60" w:line="26" w:lineRule="atLeast"/>
        <w:ind w:firstLine="720"/>
        <w:jc w:val="both"/>
        <w:rPr>
          <w:sz w:val="26"/>
          <w:szCs w:val="26"/>
          <w:lang w:val="vi-VN"/>
        </w:rPr>
      </w:pPr>
      <w:r w:rsidRPr="008A3CFB">
        <w:rPr>
          <w:sz w:val="26"/>
          <w:szCs w:val="26"/>
        </w:rPr>
        <w:t xml:space="preserve">- </w:t>
      </w:r>
      <w:r w:rsidRPr="008A3CFB">
        <w:rPr>
          <w:sz w:val="26"/>
          <w:szCs w:val="26"/>
          <w:lang w:val="vi-VN"/>
        </w:rPr>
        <w:t>Công tác đào tạo bồi dưỡng cán bộ được đẩy mạnh.</w:t>
      </w:r>
      <w:r w:rsidRPr="008A3CFB">
        <w:rPr>
          <w:sz w:val="26"/>
          <w:szCs w:val="26"/>
          <w:lang w:val="nl-NL"/>
        </w:rPr>
        <w:t xml:space="preserve"> Trong năm qua, toàn trường đã có 0</w:t>
      </w:r>
      <w:r w:rsidR="00431BB2" w:rsidRPr="008A3CFB">
        <w:rPr>
          <w:sz w:val="26"/>
          <w:szCs w:val="26"/>
          <w:lang w:val="nl-NL"/>
        </w:rPr>
        <w:t>4</w:t>
      </w:r>
      <w:r w:rsidRPr="008A3CFB">
        <w:rPr>
          <w:sz w:val="26"/>
          <w:szCs w:val="26"/>
          <w:lang w:val="nl-NL"/>
        </w:rPr>
        <w:t xml:space="preserve"> cán bộ bảo vệ thành công luận án tiến sĩ trong và ngoài nước, 0</w:t>
      </w:r>
      <w:r w:rsidR="005C43AD" w:rsidRPr="008A3CFB">
        <w:rPr>
          <w:sz w:val="26"/>
          <w:szCs w:val="26"/>
          <w:lang w:val="nl-NL"/>
        </w:rPr>
        <w:t>4</w:t>
      </w:r>
      <w:r w:rsidRPr="008A3CFB">
        <w:rPr>
          <w:sz w:val="26"/>
          <w:szCs w:val="26"/>
          <w:lang w:val="nl-NL"/>
        </w:rPr>
        <w:t xml:space="preserve"> cán bộ được công nhận đạt chuẩn chức danh và được bổ nhiệm PGS.</w:t>
      </w:r>
      <w:r w:rsidRPr="008A3CFB">
        <w:rPr>
          <w:sz w:val="26"/>
          <w:szCs w:val="26"/>
          <w:bdr w:val="none" w:sz="0" w:space="0" w:color="auto" w:frame="1"/>
          <w:lang w:val="vi-VN"/>
        </w:rPr>
        <w:t xml:space="preserve"> Hiện tại, có </w:t>
      </w:r>
      <w:r w:rsidR="002F407E" w:rsidRPr="008A3CFB">
        <w:rPr>
          <w:sz w:val="26"/>
          <w:szCs w:val="26"/>
          <w:bdr w:val="none" w:sz="0" w:space="0" w:color="auto" w:frame="1"/>
        </w:rPr>
        <w:t>8</w:t>
      </w:r>
      <w:r w:rsidRPr="008A3CFB">
        <w:rPr>
          <w:sz w:val="26"/>
          <w:szCs w:val="26"/>
          <w:bdr w:val="none" w:sz="0" w:space="0" w:color="auto" w:frame="1"/>
          <w:lang w:val="vi-VN"/>
        </w:rPr>
        <w:t xml:space="preserve"> cán bộ đang làm NCS và thực tập sinh sau tiến sĩ ở nước ngoài, </w:t>
      </w:r>
      <w:r w:rsidR="00A3451C" w:rsidRPr="008A3CFB">
        <w:rPr>
          <w:sz w:val="26"/>
          <w:szCs w:val="26"/>
          <w:bdr w:val="none" w:sz="0" w:space="0" w:color="auto" w:frame="1"/>
        </w:rPr>
        <w:t>2</w:t>
      </w:r>
      <w:r w:rsidRPr="008A3CFB">
        <w:rPr>
          <w:sz w:val="26"/>
          <w:szCs w:val="26"/>
          <w:bdr w:val="none" w:sz="0" w:space="0" w:color="auto" w:frame="1"/>
          <w:lang w:val="vi-VN"/>
        </w:rPr>
        <w:t xml:space="preserve"> cán bộ đang làm NCS trong nước; </w:t>
      </w:r>
      <w:r w:rsidRPr="008A3CFB">
        <w:rPr>
          <w:sz w:val="26"/>
          <w:szCs w:val="26"/>
          <w:lang w:val="vi-VN"/>
        </w:rPr>
        <w:t xml:space="preserve">hơn </w:t>
      </w:r>
      <w:r w:rsidR="00431BB2" w:rsidRPr="008A3CFB">
        <w:rPr>
          <w:sz w:val="26"/>
          <w:szCs w:val="26"/>
        </w:rPr>
        <w:t xml:space="preserve">11 </w:t>
      </w:r>
      <w:r w:rsidRPr="008A3CFB">
        <w:rPr>
          <w:sz w:val="26"/>
          <w:szCs w:val="26"/>
          <w:lang w:val="vi-VN"/>
        </w:rPr>
        <w:t>đồng chí có trình độ Trung cấp lý luận chính trị, 0</w:t>
      </w:r>
      <w:r w:rsidR="00291438" w:rsidRPr="008A3CFB">
        <w:rPr>
          <w:sz w:val="26"/>
          <w:szCs w:val="26"/>
        </w:rPr>
        <w:t>3</w:t>
      </w:r>
      <w:r w:rsidRPr="008A3CFB">
        <w:rPr>
          <w:sz w:val="26"/>
          <w:szCs w:val="26"/>
          <w:lang w:val="vi-VN"/>
        </w:rPr>
        <w:t xml:space="preserve"> đồng chí có trình độ cao cấp lý luận chính trị; 0</w:t>
      </w:r>
      <w:r w:rsidRPr="008A3CFB">
        <w:rPr>
          <w:sz w:val="26"/>
          <w:szCs w:val="26"/>
        </w:rPr>
        <w:t>2</w:t>
      </w:r>
      <w:r w:rsidRPr="008A3CFB">
        <w:rPr>
          <w:sz w:val="26"/>
          <w:szCs w:val="26"/>
          <w:lang w:val="vi-VN"/>
        </w:rPr>
        <w:t xml:space="preserve"> đồng chí là Uỷ viên BCH Đảng bộ Trường khoá XXXII. </w:t>
      </w:r>
    </w:p>
    <w:p w14:paraId="0F4CD766" w14:textId="77777777" w:rsidR="003F4A18" w:rsidRPr="008A3CFB" w:rsidRDefault="003F4A18" w:rsidP="003F4A18">
      <w:pPr>
        <w:widowControl w:val="0"/>
        <w:spacing w:before="60" w:after="60" w:line="26" w:lineRule="atLeast"/>
        <w:jc w:val="both"/>
        <w:rPr>
          <w:b/>
          <w:bCs/>
          <w:sz w:val="26"/>
          <w:szCs w:val="26"/>
          <w:lang w:val="nl-NL"/>
        </w:rPr>
      </w:pPr>
      <w:r w:rsidRPr="008A3CFB">
        <w:rPr>
          <w:b/>
          <w:sz w:val="26"/>
          <w:szCs w:val="26"/>
          <w:lang w:val="nl-NL"/>
        </w:rPr>
        <w:t xml:space="preserve">7. </w:t>
      </w:r>
      <w:r w:rsidRPr="008A3CFB">
        <w:rPr>
          <w:b/>
          <w:bCs/>
          <w:sz w:val="26"/>
          <w:szCs w:val="26"/>
          <w:lang w:val="vi-VN"/>
        </w:rPr>
        <w:t>Công tác đảm bảo chất lượng</w:t>
      </w:r>
      <w:r w:rsidRPr="008A3CFB">
        <w:rPr>
          <w:b/>
          <w:bCs/>
          <w:sz w:val="26"/>
          <w:szCs w:val="26"/>
          <w:lang w:val="nl-NL"/>
        </w:rPr>
        <w:t>, kiểm định chất lượng giáo dục</w:t>
      </w:r>
    </w:p>
    <w:p w14:paraId="11F0100A" w14:textId="1C0BD7A7" w:rsidR="003F4A18" w:rsidRPr="008A3CFB" w:rsidRDefault="003F4A18" w:rsidP="003F4A18">
      <w:pPr>
        <w:widowControl w:val="0"/>
        <w:spacing w:before="60" w:after="60" w:line="26" w:lineRule="atLeast"/>
        <w:ind w:firstLine="720"/>
        <w:jc w:val="both"/>
        <w:rPr>
          <w:sz w:val="26"/>
          <w:szCs w:val="26"/>
          <w:lang w:val="nl-NL"/>
        </w:rPr>
      </w:pPr>
      <w:r w:rsidRPr="008A3CFB">
        <w:rPr>
          <w:sz w:val="26"/>
          <w:szCs w:val="26"/>
          <w:lang w:val="nl-NL"/>
        </w:rPr>
        <w:t>- Trường Sư phạm đã thực hiện tốt</w:t>
      </w:r>
      <w:r w:rsidRPr="008A3CFB">
        <w:rPr>
          <w:sz w:val="26"/>
          <w:szCs w:val="26"/>
          <w:lang w:val="de-DE"/>
        </w:rPr>
        <w:t xml:space="preserve"> Kế hoạch tự đánh giá và đánh giá ngoài chương trình đào tạo Trường Đại học Vinh giai đoạn 2022 </w:t>
      </w:r>
      <w:r w:rsidR="005C43AD" w:rsidRPr="008A3CFB">
        <w:rPr>
          <w:sz w:val="26"/>
          <w:szCs w:val="26"/>
          <w:lang w:val="de-DE"/>
        </w:rPr>
        <w:t>-</w:t>
      </w:r>
      <w:r w:rsidRPr="008A3CFB">
        <w:rPr>
          <w:sz w:val="26"/>
          <w:szCs w:val="26"/>
          <w:lang w:val="de-DE"/>
        </w:rPr>
        <w:t xml:space="preserve"> 2025 và thực hiện 100% chỉ tiêu năm 202</w:t>
      </w:r>
      <w:r w:rsidR="005C43AD" w:rsidRPr="008A3CFB">
        <w:rPr>
          <w:sz w:val="26"/>
          <w:szCs w:val="26"/>
          <w:lang w:val="de-DE"/>
        </w:rPr>
        <w:t>3</w:t>
      </w:r>
      <w:r w:rsidRPr="008A3CFB">
        <w:rPr>
          <w:sz w:val="26"/>
          <w:szCs w:val="26"/>
          <w:lang w:val="de-DE"/>
        </w:rPr>
        <w:t>.</w:t>
      </w:r>
    </w:p>
    <w:p w14:paraId="4FAD1197" w14:textId="77777777" w:rsidR="003F4A18" w:rsidRPr="008A3CFB" w:rsidRDefault="003F4A18" w:rsidP="003F4A18">
      <w:pPr>
        <w:widowControl w:val="0"/>
        <w:spacing w:before="60" w:after="60" w:line="26" w:lineRule="atLeast"/>
        <w:ind w:firstLine="720"/>
        <w:jc w:val="both"/>
        <w:rPr>
          <w:sz w:val="26"/>
          <w:szCs w:val="26"/>
          <w:lang w:val="vi-VN"/>
        </w:rPr>
      </w:pPr>
      <w:r w:rsidRPr="008A3CFB">
        <w:rPr>
          <w:sz w:val="26"/>
          <w:szCs w:val="26"/>
        </w:rPr>
        <w:t xml:space="preserve">- </w:t>
      </w:r>
      <w:r w:rsidRPr="008A3CFB">
        <w:rPr>
          <w:sz w:val="26"/>
          <w:szCs w:val="26"/>
          <w:lang w:val="vi-VN"/>
        </w:rPr>
        <w:t>Trong số 14 ngành đào tạo Sư phạm</w:t>
      </w:r>
      <w:r w:rsidRPr="008A3CFB">
        <w:rPr>
          <w:sz w:val="26"/>
          <w:szCs w:val="26"/>
        </w:rPr>
        <w:t xml:space="preserve"> </w:t>
      </w:r>
      <w:r w:rsidRPr="008A3CFB">
        <w:rPr>
          <w:sz w:val="26"/>
          <w:szCs w:val="26"/>
          <w:lang w:val="vi-VN"/>
        </w:rPr>
        <w:t xml:space="preserve">đã có 1 ngành được kiểm định đạt tiêu chuẩn theo chuẩn AUN-QA, </w:t>
      </w:r>
      <w:r w:rsidRPr="008A3CFB">
        <w:rPr>
          <w:sz w:val="26"/>
          <w:szCs w:val="26"/>
        </w:rPr>
        <w:t>6</w:t>
      </w:r>
      <w:r w:rsidRPr="008A3CFB">
        <w:rPr>
          <w:sz w:val="26"/>
          <w:szCs w:val="26"/>
          <w:lang w:val="vi-VN"/>
        </w:rPr>
        <w:t xml:space="preserve"> ngành được kiểm định đạt tiểu chuẩn Quốc gia</w:t>
      </w:r>
      <w:r w:rsidRPr="008A3CFB">
        <w:rPr>
          <w:rStyle w:val="FootnoteReference"/>
          <w:sz w:val="26"/>
          <w:szCs w:val="26"/>
        </w:rPr>
        <w:footnoteReference w:id="7"/>
      </w:r>
      <w:r w:rsidRPr="008A3CFB">
        <w:rPr>
          <w:sz w:val="26"/>
          <w:szCs w:val="26"/>
          <w:lang w:val="vi-VN"/>
        </w:rPr>
        <w:t xml:space="preserve">. </w:t>
      </w:r>
    </w:p>
    <w:p w14:paraId="08677B45" w14:textId="77777777" w:rsidR="003F4A18" w:rsidRPr="008A3CFB" w:rsidRDefault="003F4A18" w:rsidP="003F4A18">
      <w:pPr>
        <w:widowControl w:val="0"/>
        <w:spacing w:before="60" w:after="60" w:line="26" w:lineRule="atLeast"/>
        <w:jc w:val="both"/>
        <w:rPr>
          <w:b/>
          <w:bCs/>
          <w:spacing w:val="-2"/>
          <w:sz w:val="26"/>
          <w:szCs w:val="26"/>
          <w:lang w:val="nl-NL"/>
        </w:rPr>
      </w:pPr>
      <w:r w:rsidRPr="008A3CFB">
        <w:rPr>
          <w:b/>
          <w:bCs/>
          <w:sz w:val="26"/>
          <w:szCs w:val="26"/>
          <w:lang w:val="nl-NL"/>
        </w:rPr>
        <w:t>8. Công tác hỗ trợ người học</w:t>
      </w:r>
    </w:p>
    <w:p w14:paraId="04F0C516" w14:textId="77777777" w:rsidR="003F4A18" w:rsidRPr="008A3CFB" w:rsidRDefault="003F4A18" w:rsidP="003F4A18">
      <w:pPr>
        <w:widowControl w:val="0"/>
        <w:shd w:val="clear" w:color="auto" w:fill="FFFFFF"/>
        <w:spacing w:before="60" w:after="60" w:line="26" w:lineRule="atLeast"/>
        <w:ind w:firstLine="720"/>
        <w:jc w:val="both"/>
        <w:rPr>
          <w:bCs/>
          <w:i/>
          <w:spacing w:val="-2"/>
          <w:sz w:val="26"/>
          <w:szCs w:val="26"/>
          <w:lang w:val="vi-VN"/>
        </w:rPr>
      </w:pPr>
      <w:r w:rsidRPr="008A3CFB">
        <w:rPr>
          <w:bCs/>
          <w:spacing w:val="-2"/>
          <w:sz w:val="26"/>
          <w:szCs w:val="26"/>
        </w:rPr>
        <w:t xml:space="preserve">- </w:t>
      </w:r>
      <w:r w:rsidRPr="008A3CFB">
        <w:rPr>
          <w:bCs/>
          <w:spacing w:val="-2"/>
          <w:sz w:val="26"/>
          <w:szCs w:val="26"/>
          <w:lang w:val="vi-VN"/>
        </w:rPr>
        <w:t xml:space="preserve">Trong thời gian qua, khoa đã có rất nhiều hoạt động hỗ trợ người học nhằm </w:t>
      </w:r>
      <w:r w:rsidRPr="008A3CFB">
        <w:rPr>
          <w:bCs/>
          <w:sz w:val="26"/>
          <w:szCs w:val="26"/>
          <w:lang w:val="nl-NL"/>
        </w:rPr>
        <w:t>xây dựng sân chơi, thúc đẩy hoạt động đào tạo, tạo điều kiện và khuyến khích sinh viên tích cực tham gia các hoạt động rèn nghề, các hoạt động văn hóa, văn nghệ thể dục và thể thao. Hỗ trợ sinh viên xây dựng kế hoạch học tập và tự học.</w:t>
      </w:r>
    </w:p>
    <w:p w14:paraId="23C58741" w14:textId="77777777" w:rsidR="003F4A18" w:rsidRPr="008A3CFB" w:rsidRDefault="003F4A18" w:rsidP="003F4A18">
      <w:pPr>
        <w:widowControl w:val="0"/>
        <w:shd w:val="clear" w:color="auto" w:fill="FFFFFF"/>
        <w:spacing w:before="60" w:after="60" w:line="26" w:lineRule="atLeast"/>
        <w:ind w:firstLine="720"/>
        <w:jc w:val="both"/>
        <w:rPr>
          <w:bCs/>
          <w:i/>
          <w:spacing w:val="-2"/>
          <w:sz w:val="26"/>
          <w:szCs w:val="26"/>
          <w:lang w:val="vi-VN"/>
        </w:rPr>
      </w:pPr>
      <w:r w:rsidRPr="008A3CFB">
        <w:rPr>
          <w:bCs/>
          <w:sz w:val="26"/>
          <w:szCs w:val="26"/>
          <w:lang w:val="nl-NL"/>
        </w:rPr>
        <w:t xml:space="preserve">- Lãnh đạo các đơn vị đã quan tâm chỉ đạo, cùng với Trợ lý QLSV khoa thực hiện tốt công tác tuyên truyền phổ biến, giáo dục pháp luật, đạo đức lối sống, vệ sinh môi trường, an toàn giao thông, phòng chống các tệ nạn xã hội và ma túy trong sinh viên. Vận động sinh viên tham gia hiến máu nhân đạo, tuyên truyền để sinh viên có nhận thức và hành động đúng đắn về chủ quyền biển, đảo Việt Nam. </w:t>
      </w:r>
      <w:r w:rsidRPr="008A3CFB">
        <w:rPr>
          <w:sz w:val="26"/>
          <w:szCs w:val="26"/>
          <w:lang w:val="nl-NL"/>
        </w:rPr>
        <w:t>Sinh viên của Trường chấp hành tốt chủ tr</w:t>
      </w:r>
      <w:r w:rsidRPr="008A3CFB">
        <w:rPr>
          <w:sz w:val="26"/>
          <w:szCs w:val="26"/>
          <w:lang w:val="nl-NL"/>
        </w:rPr>
        <w:softHyphen/>
        <w:t>ương, chính sách của Đảng và Nhà nư</w:t>
      </w:r>
      <w:r w:rsidRPr="008A3CFB">
        <w:rPr>
          <w:sz w:val="26"/>
          <w:szCs w:val="26"/>
          <w:lang w:val="nl-NL"/>
        </w:rPr>
        <w:softHyphen/>
        <w:t>ớc; nội quy, quy chế của Nhà trường và của Bộ Giáo dục và Đào tạo về các hoạt động đào tạo; Có ý thức trong việc xây dựng môi trường giáo dục lành mạnh, tập thể đoàn kết; Có ý thức học tập, phấn đấu vươn lên, giúp đỡ nhau trong học tập và cuộc sống.</w:t>
      </w:r>
    </w:p>
    <w:p w14:paraId="6BE28D2C" w14:textId="77777777" w:rsidR="003F4A18" w:rsidRPr="008A3CFB" w:rsidRDefault="003F4A18" w:rsidP="003F4A18">
      <w:pPr>
        <w:widowControl w:val="0"/>
        <w:shd w:val="clear" w:color="auto" w:fill="FFFFFF"/>
        <w:spacing w:before="60" w:after="60" w:line="26" w:lineRule="atLeast"/>
        <w:ind w:firstLine="720"/>
        <w:jc w:val="both"/>
        <w:rPr>
          <w:bCs/>
          <w:i/>
          <w:spacing w:val="-2"/>
          <w:sz w:val="26"/>
          <w:szCs w:val="26"/>
          <w:lang w:val="vi-VN"/>
        </w:rPr>
      </w:pPr>
      <w:r w:rsidRPr="008A3CFB">
        <w:rPr>
          <w:bCs/>
          <w:iCs/>
          <w:spacing w:val="-2"/>
          <w:sz w:val="26"/>
          <w:szCs w:val="26"/>
        </w:rPr>
        <w:t xml:space="preserve">- </w:t>
      </w:r>
      <w:r w:rsidRPr="008A3CFB">
        <w:rPr>
          <w:bCs/>
          <w:iCs/>
          <w:spacing w:val="-2"/>
          <w:sz w:val="26"/>
          <w:szCs w:val="26"/>
          <w:lang w:val="vi-VN"/>
        </w:rPr>
        <w:t xml:space="preserve">Các ngành đào tạo đại học chính quy đã có những hoạt động gắn với các trường phổ thông, trường mầm non trong quy trình rèn luyện kĩ năng nghề nghiệp cho sinh viên trong quá trình đào tạo. </w:t>
      </w:r>
    </w:p>
    <w:p w14:paraId="6D4EB28A" w14:textId="77777777" w:rsidR="003F4A18" w:rsidRPr="008A3CFB" w:rsidRDefault="003F4A18" w:rsidP="003F4A18">
      <w:pPr>
        <w:widowControl w:val="0"/>
        <w:shd w:val="clear" w:color="auto" w:fill="FFFFFF"/>
        <w:spacing w:before="60" w:after="60" w:line="26" w:lineRule="atLeast"/>
        <w:ind w:firstLine="720"/>
        <w:jc w:val="both"/>
        <w:rPr>
          <w:bCs/>
          <w:i/>
          <w:spacing w:val="-2"/>
          <w:sz w:val="26"/>
          <w:szCs w:val="26"/>
          <w:lang w:val="vi-VN"/>
        </w:rPr>
      </w:pPr>
      <w:r w:rsidRPr="008A3CFB">
        <w:rPr>
          <w:sz w:val="26"/>
          <w:szCs w:val="26"/>
          <w:lang w:val="nl-NL"/>
        </w:rPr>
        <w:t>- Công tác tổ chức quản lý sinh viên, học viên được thực hiện tốt, công tác quản lý sinh viên với mạng lưới cố vấn học tập có nhiều ưu điểm và đạt được hiệu qua cao. Cố vấn học tập đều có tinh thần trách nhiệm cao, quan tâm sâu sát đến từng sinh viên, khuyến khích động viên sinh viên tích cực tham gia mọi hoạt động đoàn thể.  </w:t>
      </w:r>
    </w:p>
    <w:p w14:paraId="7F244526" w14:textId="77777777" w:rsidR="003F4A18" w:rsidRPr="008A3CFB" w:rsidRDefault="003F4A18" w:rsidP="003F4A18">
      <w:pPr>
        <w:widowControl w:val="0"/>
        <w:shd w:val="clear" w:color="auto" w:fill="FFFFFF"/>
        <w:spacing w:before="60" w:after="60" w:line="26" w:lineRule="atLeast"/>
        <w:ind w:firstLine="720"/>
        <w:jc w:val="both"/>
        <w:rPr>
          <w:bCs/>
          <w:iCs/>
          <w:spacing w:val="-2"/>
          <w:sz w:val="26"/>
          <w:szCs w:val="26"/>
          <w:lang w:val="en-GB"/>
        </w:rPr>
      </w:pPr>
      <w:r w:rsidRPr="008A3CFB">
        <w:rPr>
          <w:bCs/>
          <w:iCs/>
          <w:spacing w:val="-2"/>
          <w:sz w:val="26"/>
          <w:szCs w:val="26"/>
          <w:lang w:val="nl-NL"/>
        </w:rPr>
        <w:t>- Công tác xử lý học vụ được thực hiện bài bản và có hiệu quả. Hầu hết sinh viên, học viên có p</w:t>
      </w:r>
      <w:r w:rsidRPr="008A3CFB">
        <w:rPr>
          <w:bCs/>
          <w:iCs/>
          <w:spacing w:val="-2"/>
          <w:sz w:val="26"/>
          <w:szCs w:val="26"/>
          <w:lang w:val="vi-VN"/>
        </w:rPr>
        <w:t>hản hồi</w:t>
      </w:r>
      <w:r w:rsidRPr="008A3CFB">
        <w:rPr>
          <w:bCs/>
          <w:iCs/>
          <w:spacing w:val="-2"/>
          <w:sz w:val="26"/>
          <w:szCs w:val="26"/>
          <w:lang w:val="nl-NL"/>
        </w:rPr>
        <w:t xml:space="preserve"> tích cực qua các đợt khảo sát của Nhà trường về </w:t>
      </w:r>
      <w:r w:rsidRPr="008A3CFB">
        <w:rPr>
          <w:bCs/>
          <w:iCs/>
          <w:spacing w:val="-2"/>
          <w:sz w:val="26"/>
          <w:szCs w:val="26"/>
          <w:lang w:val="vi-VN"/>
        </w:rPr>
        <w:t>chất lượng, hiệu quả các hoạt động tư vấn học tập, hỗ trợ việc làm</w:t>
      </w:r>
      <w:r w:rsidRPr="008A3CFB">
        <w:rPr>
          <w:bCs/>
          <w:iCs/>
          <w:spacing w:val="-2"/>
          <w:sz w:val="26"/>
          <w:szCs w:val="26"/>
          <w:lang w:val="nl-NL"/>
        </w:rPr>
        <w:t xml:space="preserve">. </w:t>
      </w:r>
      <w:r w:rsidRPr="008A3CFB">
        <w:rPr>
          <w:bCs/>
          <w:iCs/>
          <w:spacing w:val="-2"/>
          <w:sz w:val="26"/>
          <w:szCs w:val="26"/>
          <w:lang w:val="vi-VN"/>
        </w:rPr>
        <w:t xml:space="preserve">Tỷ lệ sinh viên ra trường có việc làm đã được khảo </w:t>
      </w:r>
      <w:r w:rsidRPr="008A3CFB">
        <w:rPr>
          <w:bCs/>
          <w:iCs/>
          <w:spacing w:val="-2"/>
          <w:sz w:val="26"/>
          <w:szCs w:val="26"/>
          <w:lang w:val="vi-VN"/>
        </w:rPr>
        <w:lastRenderedPageBreak/>
        <w:t xml:space="preserve">sát bởi Trung tâm hỗ trợ sinh viên và quan hệ doanh nghiệp trên </w:t>
      </w:r>
      <w:r w:rsidRPr="008A3CFB">
        <w:rPr>
          <w:bCs/>
          <w:iCs/>
          <w:spacing w:val="-2"/>
          <w:sz w:val="26"/>
          <w:szCs w:val="26"/>
          <w:lang w:val="nl-NL"/>
        </w:rPr>
        <w:t>90</w:t>
      </w:r>
      <w:r w:rsidRPr="008A3CFB">
        <w:rPr>
          <w:bCs/>
          <w:iCs/>
          <w:spacing w:val="-2"/>
          <w:sz w:val="26"/>
          <w:szCs w:val="26"/>
          <w:lang w:val="vi-VN"/>
        </w:rPr>
        <w:t>%.</w:t>
      </w:r>
      <w:r w:rsidRPr="008A3CFB">
        <w:rPr>
          <w:bCs/>
          <w:iCs/>
          <w:spacing w:val="-2"/>
          <w:sz w:val="26"/>
          <w:szCs w:val="26"/>
          <w:lang w:val="en-GB"/>
        </w:rPr>
        <w:t xml:space="preserve"> </w:t>
      </w:r>
    </w:p>
    <w:p w14:paraId="2D7DCE19" w14:textId="77777777" w:rsidR="003F4A18" w:rsidRPr="008A3CFB" w:rsidRDefault="003F4A18" w:rsidP="003F4A18">
      <w:pPr>
        <w:widowControl w:val="0"/>
        <w:shd w:val="clear" w:color="auto" w:fill="FFFFFF"/>
        <w:spacing w:before="60" w:after="60" w:line="26" w:lineRule="atLeast"/>
        <w:ind w:firstLine="720"/>
        <w:jc w:val="both"/>
        <w:rPr>
          <w:rFonts w:eastAsia="Calibri"/>
          <w:sz w:val="26"/>
          <w:szCs w:val="26"/>
          <w:lang w:val="pt-BR"/>
        </w:rPr>
      </w:pPr>
      <w:r w:rsidRPr="008A3CFB">
        <w:rPr>
          <w:rFonts w:eastAsia="Calibri"/>
          <w:sz w:val="26"/>
          <w:szCs w:val="26"/>
          <w:lang w:val="pt-BR"/>
        </w:rPr>
        <w:t>- Các đơn vị hình thành mạng lưới giáo viên chủ nhiệm</w:t>
      </w:r>
      <w:r w:rsidRPr="008A3CFB">
        <w:rPr>
          <w:rFonts w:eastAsia="Calibri"/>
          <w:sz w:val="26"/>
          <w:szCs w:val="26"/>
          <w:vertAlign w:val="superscript"/>
        </w:rPr>
        <w:footnoteReference w:id="8"/>
      </w:r>
      <w:r w:rsidRPr="008A3CFB">
        <w:rPr>
          <w:rFonts w:eastAsia="Calibri"/>
          <w:sz w:val="26"/>
          <w:szCs w:val="26"/>
          <w:lang w:val="pt-BR"/>
        </w:rPr>
        <w:t>. Qua mạng lưới giáo viên chủ nhiệm lớp, đã thực hiện tốt việc quản lý, hỗ trợ sinh viên, học viên trong Khoa. Hằng năm, có hàng trăm lượt sinh viên được hệ thống giáo viên chủ nhiệm lớp phối hợp với cố vấn học tập hỗ trợ xây dựng kế hoạch học tập, đặc biệt là các sinh viên dân tộc thiểu số, sinh viên ở các vùng đặc biệt khó khăn. Các chế độ chính sách của sinh viên được quan tâm giải quyết kịp thời. Theo từng học kỳ, các đơn vị đã tổ chức đánh giá, xếp loại rèn luyện của sinh viên; quy trình đánh giá, xếp loại rèn luyện của sinh viên đảm bảo công khai, dân chủ, chặt chẽ, đúng quy chế. Sinh viên sư phạm có ý thức và tự giác trong học tập tiếp thu tri thức và tự giác trong rèn luyện theo mục tiêu giáo dục toàn diện, từng bước biến quá trình đào tạo của nhà trường thành quá trình tự đào tạo. Do thực hiện tốt công tác quản lý, giáo dục sinh viên nên hằng năm có trên 95% sinh viên được xếp loại rèn luyện từ loại khá trở lên; nhiều sinh viên  được Hiệu trưởng Nhà trường tặng Giấy khen.</w:t>
      </w:r>
    </w:p>
    <w:p w14:paraId="2306628B" w14:textId="77777777" w:rsidR="003F4A18" w:rsidRPr="008A3CFB" w:rsidRDefault="003F4A18" w:rsidP="003F4A18">
      <w:pPr>
        <w:widowControl w:val="0"/>
        <w:spacing w:before="60" w:after="60" w:line="26" w:lineRule="atLeast"/>
        <w:jc w:val="both"/>
        <w:rPr>
          <w:b/>
          <w:bCs/>
          <w:spacing w:val="-2"/>
          <w:sz w:val="26"/>
          <w:szCs w:val="26"/>
          <w:lang w:val="nl-NL"/>
        </w:rPr>
      </w:pPr>
      <w:r w:rsidRPr="008A3CFB">
        <w:rPr>
          <w:b/>
          <w:bCs/>
          <w:sz w:val="26"/>
          <w:szCs w:val="26"/>
          <w:lang w:val="nl-NL"/>
        </w:rPr>
        <w:t>9. Công tác cơ sở vật chất</w:t>
      </w:r>
    </w:p>
    <w:p w14:paraId="46FF2425" w14:textId="77777777" w:rsidR="003F4A18" w:rsidRPr="008A3CFB" w:rsidRDefault="003F4A18" w:rsidP="003F4A18">
      <w:pPr>
        <w:widowControl w:val="0"/>
        <w:spacing w:before="60" w:after="60" w:line="26" w:lineRule="atLeast"/>
        <w:ind w:firstLine="720"/>
        <w:jc w:val="both"/>
        <w:rPr>
          <w:sz w:val="26"/>
          <w:szCs w:val="26"/>
          <w:lang w:val="nl-NL"/>
        </w:rPr>
      </w:pPr>
      <w:r w:rsidRPr="008A3CFB">
        <w:rPr>
          <w:sz w:val="26"/>
          <w:szCs w:val="26"/>
          <w:lang w:val="nl-NL"/>
        </w:rPr>
        <w:t>- Cơ sở vật chất, thiết bị cơ bản đáp ứng nhu đào tạo và các hoạt động chuyên môn của cán bộ, giảng viên. Cơ sở vật chất tiếp tục được các đơn vị sử dụng hiệu quả phục vụ tốt cho công tác đào tạo, đảm bảo chất lượng đào tạo. Hàng năm đều tiến hành kiểm kê và thanh lý theo quy định và được bảo trị bảo dưỡng thường xuyên.</w:t>
      </w:r>
    </w:p>
    <w:p w14:paraId="451A7B61" w14:textId="77777777" w:rsidR="003F4A18" w:rsidRPr="008A3CFB" w:rsidRDefault="003F4A18" w:rsidP="003F4A18">
      <w:pPr>
        <w:widowControl w:val="0"/>
        <w:spacing w:before="60" w:after="60" w:line="26" w:lineRule="atLeast"/>
        <w:ind w:firstLine="720"/>
        <w:jc w:val="both"/>
        <w:rPr>
          <w:sz w:val="26"/>
          <w:szCs w:val="26"/>
          <w:lang w:val="nl-NL"/>
        </w:rPr>
      </w:pPr>
      <w:r w:rsidRPr="008A3CFB">
        <w:rPr>
          <w:sz w:val="26"/>
          <w:szCs w:val="26"/>
          <w:lang w:val="nl-NL"/>
        </w:rPr>
        <w:t xml:space="preserve">- Công tác quản lý tài sản của Trường được thực hiện theo quy định về Quản lý, khai thác và sử dụng tài sản của trường Đại học Vinh ban hành kèm Quyết định số 209/QĐ - ĐHV ngày 16/3/2017. </w:t>
      </w:r>
    </w:p>
    <w:p w14:paraId="23FC0D36" w14:textId="77777777" w:rsidR="003F4A18" w:rsidRPr="008A3CFB" w:rsidRDefault="003F4A18" w:rsidP="003F4A18">
      <w:pPr>
        <w:widowControl w:val="0"/>
        <w:spacing w:before="60" w:after="60" w:line="26" w:lineRule="atLeast"/>
        <w:ind w:firstLine="720"/>
        <w:jc w:val="both"/>
        <w:rPr>
          <w:sz w:val="26"/>
          <w:szCs w:val="26"/>
          <w:lang w:val="nl-NL"/>
        </w:rPr>
      </w:pPr>
      <w:r w:rsidRPr="008A3CFB">
        <w:rPr>
          <w:sz w:val="26"/>
          <w:szCs w:val="26"/>
          <w:lang w:val="nl-NL"/>
        </w:rPr>
        <w:t>- Trường đã hoàn thành việc xây dựng rà soát, cập nhật định mức kinh tế kỹ thuật cho các học phần thực hành, tiếp tục đề xuất danh mục thiết bị cho đề án tăng cường năng lực PTN phục vụ đào tạo theo CDIO của các ngành Vật lý, Hoá học và Sinh học; tổ chức khai thác và sử dụng có hiệu quả trang thiết bị hiện có tại các PTN trong đào tạo và NCKH.</w:t>
      </w:r>
    </w:p>
    <w:p w14:paraId="7854D8CF" w14:textId="77777777" w:rsidR="003F4A18" w:rsidRPr="008A3CFB" w:rsidRDefault="003F4A18" w:rsidP="003F4A18">
      <w:pPr>
        <w:widowControl w:val="0"/>
        <w:spacing w:before="60" w:after="60" w:line="26" w:lineRule="atLeast"/>
        <w:rPr>
          <w:rFonts w:eastAsia="Calibri"/>
          <w:b/>
          <w:sz w:val="26"/>
          <w:szCs w:val="26"/>
          <w:lang w:val="pt-BR"/>
        </w:rPr>
      </w:pPr>
      <w:r w:rsidRPr="008A3CFB">
        <w:rPr>
          <w:rFonts w:eastAsia="Calibri"/>
          <w:b/>
          <w:sz w:val="26"/>
          <w:szCs w:val="26"/>
          <w:lang w:val="pt-BR"/>
        </w:rPr>
        <w:t>10. Công tác hợp tác đối ngoại</w:t>
      </w:r>
    </w:p>
    <w:p w14:paraId="6A0E6E0A" w14:textId="5F6C2A53" w:rsidR="003F4A18" w:rsidRPr="008A3CFB" w:rsidRDefault="003F4A18" w:rsidP="003F4A18">
      <w:pPr>
        <w:widowControl w:val="0"/>
        <w:shd w:val="clear" w:color="auto" w:fill="FFFFFF"/>
        <w:spacing w:before="60" w:after="60" w:line="26" w:lineRule="atLeast"/>
        <w:ind w:firstLine="720"/>
        <w:jc w:val="both"/>
        <w:rPr>
          <w:bCs/>
          <w:iCs/>
          <w:spacing w:val="-2"/>
          <w:sz w:val="26"/>
          <w:szCs w:val="26"/>
          <w:lang w:val="pt-BR"/>
        </w:rPr>
      </w:pPr>
      <w:r w:rsidRPr="008A3CFB">
        <w:rPr>
          <w:bCs/>
          <w:iCs/>
          <w:spacing w:val="-2"/>
          <w:sz w:val="26"/>
          <w:szCs w:val="26"/>
        </w:rPr>
        <w:t xml:space="preserve">- </w:t>
      </w:r>
      <w:r w:rsidRPr="008A3CFB">
        <w:rPr>
          <w:bCs/>
          <w:iCs/>
          <w:spacing w:val="-2"/>
          <w:sz w:val="26"/>
          <w:szCs w:val="26"/>
          <w:lang w:val="vi-VN"/>
        </w:rPr>
        <w:t xml:space="preserve">Năm học </w:t>
      </w:r>
      <w:r w:rsidRPr="008A3CFB">
        <w:rPr>
          <w:bCs/>
          <w:iCs/>
          <w:spacing w:val="-2"/>
          <w:sz w:val="26"/>
          <w:szCs w:val="26"/>
        </w:rPr>
        <w:t>202</w:t>
      </w:r>
      <w:r w:rsidR="00E91A98" w:rsidRPr="008A3CFB">
        <w:rPr>
          <w:bCs/>
          <w:iCs/>
          <w:spacing w:val="-2"/>
          <w:sz w:val="26"/>
          <w:szCs w:val="26"/>
        </w:rPr>
        <w:t>3</w:t>
      </w:r>
      <w:r w:rsidRPr="008A3CFB">
        <w:rPr>
          <w:bCs/>
          <w:iCs/>
          <w:spacing w:val="-2"/>
          <w:sz w:val="26"/>
          <w:szCs w:val="26"/>
          <w:lang w:val="vi-VN"/>
        </w:rPr>
        <w:t xml:space="preserve">, </w:t>
      </w:r>
      <w:r w:rsidRPr="008A3CFB">
        <w:rPr>
          <w:bCs/>
          <w:iCs/>
          <w:spacing w:val="-2"/>
          <w:sz w:val="26"/>
          <w:szCs w:val="26"/>
          <w:lang w:val="pt-BR"/>
        </w:rPr>
        <w:t>các đơn vị</w:t>
      </w:r>
      <w:r w:rsidRPr="008A3CFB">
        <w:rPr>
          <w:bCs/>
          <w:iCs/>
          <w:spacing w:val="-2"/>
          <w:sz w:val="26"/>
          <w:szCs w:val="26"/>
          <w:lang w:val="vi-VN"/>
        </w:rPr>
        <w:t xml:space="preserve"> đã </w:t>
      </w:r>
      <w:r w:rsidRPr="008A3CFB">
        <w:rPr>
          <w:bCs/>
          <w:iCs/>
          <w:spacing w:val="-2"/>
          <w:sz w:val="26"/>
          <w:szCs w:val="26"/>
          <w:lang w:val="pt-BR"/>
        </w:rPr>
        <w:t xml:space="preserve">thực hiện liên kết với các trường Mầm non, Tiểu học, mở rộng kết nối với các trường phổ thông trên địa bàn và các vùng lân cận </w:t>
      </w:r>
      <w:r w:rsidRPr="008A3CFB">
        <w:rPr>
          <w:bCs/>
          <w:iCs/>
          <w:spacing w:val="-2"/>
          <w:sz w:val="26"/>
          <w:szCs w:val="26"/>
          <w:lang w:val="vi-VN"/>
        </w:rPr>
        <w:t>để tạo môi trường thực tập, rèn luyện nghiệp vụ sư phạm cho sinh viên</w:t>
      </w:r>
      <w:r w:rsidRPr="008A3CFB">
        <w:rPr>
          <w:bCs/>
          <w:iCs/>
          <w:spacing w:val="-2"/>
          <w:sz w:val="26"/>
          <w:szCs w:val="26"/>
          <w:lang w:val="pt-BR"/>
        </w:rPr>
        <w:t>.</w:t>
      </w:r>
    </w:p>
    <w:p w14:paraId="46A064C0" w14:textId="77777777" w:rsidR="003F4A18" w:rsidRPr="008A3CFB" w:rsidRDefault="003F4A18" w:rsidP="003F4A18">
      <w:pPr>
        <w:widowControl w:val="0"/>
        <w:shd w:val="clear" w:color="auto" w:fill="FFFFFF"/>
        <w:spacing w:before="60" w:after="60" w:line="26" w:lineRule="atLeast"/>
        <w:ind w:firstLine="720"/>
        <w:jc w:val="both"/>
        <w:rPr>
          <w:bCs/>
          <w:iCs/>
          <w:spacing w:val="-2"/>
          <w:sz w:val="26"/>
          <w:szCs w:val="26"/>
          <w:lang w:val="pt-BR"/>
        </w:rPr>
      </w:pPr>
      <w:r w:rsidRPr="008A3CFB">
        <w:rPr>
          <w:bCs/>
          <w:iCs/>
          <w:spacing w:val="-2"/>
          <w:sz w:val="26"/>
          <w:szCs w:val="26"/>
          <w:lang w:val="pt-BR"/>
        </w:rPr>
        <w:t>- Liên kết với các Sở Giáo dục, Phòng Giáo dục các tỉnh thành trên cả nước liên kết đào tạo. Thường xuyên tham gia các hội nghị, hội thảo chuyên môn nghiệp vụ trong nước và nước ngoài.</w:t>
      </w:r>
    </w:p>
    <w:p w14:paraId="124601E7" w14:textId="77777777" w:rsidR="003F4A18" w:rsidRPr="008A3CFB" w:rsidRDefault="003F4A18" w:rsidP="003F4A18">
      <w:pPr>
        <w:widowControl w:val="0"/>
        <w:shd w:val="clear" w:color="auto" w:fill="FFFFFF"/>
        <w:spacing w:before="60" w:after="60" w:line="26" w:lineRule="atLeast"/>
        <w:ind w:firstLine="720"/>
        <w:jc w:val="both"/>
        <w:rPr>
          <w:bCs/>
          <w:iCs/>
          <w:spacing w:val="-2"/>
          <w:sz w:val="26"/>
          <w:szCs w:val="26"/>
          <w:lang w:val="pt-BR"/>
        </w:rPr>
      </w:pPr>
      <w:r w:rsidRPr="008A3CFB">
        <w:rPr>
          <w:bCs/>
          <w:iCs/>
          <w:spacing w:val="-2"/>
          <w:sz w:val="26"/>
          <w:szCs w:val="26"/>
          <w:lang w:val="pt-BR"/>
        </w:rPr>
        <w:t>- Giữ mối quan hệ hợp tác về đào tạo và NCKH với các Trường, các Viện nghiên cứu trong nước và quốc tế.</w:t>
      </w:r>
    </w:p>
    <w:p w14:paraId="273DCC48" w14:textId="77777777" w:rsidR="003F4A18" w:rsidRPr="008A3CFB" w:rsidRDefault="003F4A18" w:rsidP="003F4A18">
      <w:pPr>
        <w:widowControl w:val="0"/>
        <w:spacing w:before="60" w:after="60" w:line="26" w:lineRule="atLeast"/>
        <w:jc w:val="both"/>
        <w:rPr>
          <w:b/>
          <w:sz w:val="26"/>
          <w:szCs w:val="26"/>
        </w:rPr>
      </w:pPr>
      <w:r w:rsidRPr="008A3CFB">
        <w:rPr>
          <w:b/>
          <w:sz w:val="26"/>
          <w:szCs w:val="26"/>
        </w:rPr>
        <w:t>11. Công tác đoàn thể</w:t>
      </w:r>
    </w:p>
    <w:p w14:paraId="08D29D75" w14:textId="73E12A59" w:rsidR="003F4A18" w:rsidRPr="008A3CFB" w:rsidRDefault="003F4A18" w:rsidP="003F4A18">
      <w:pPr>
        <w:widowControl w:val="0"/>
        <w:spacing w:before="60" w:after="60" w:line="26" w:lineRule="atLeast"/>
        <w:ind w:firstLine="709"/>
        <w:jc w:val="both"/>
        <w:rPr>
          <w:sz w:val="26"/>
          <w:szCs w:val="26"/>
          <w:lang w:val="sv-SE"/>
        </w:rPr>
      </w:pPr>
      <w:r w:rsidRPr="008A3CFB">
        <w:rPr>
          <w:sz w:val="26"/>
          <w:szCs w:val="26"/>
          <w:lang w:val="sv-SE"/>
        </w:rPr>
        <w:t>- Công đoàn Trường đã nâng cao chất lượng công tác tuyên truyền, giáo dục chính trị tư tưởng, đạo đức gắn liền với đẩy mạnh phong trào xây dựng đời sống văn hóa ở cơ sở và phong trào xây dựng gia đình nhà giáo văn hóa được đẩy mạnh; nắm tình hình, diễn biến tư tưởng của CBN</w:t>
      </w:r>
      <w:r w:rsidR="00F972F7" w:rsidRPr="008A3CFB">
        <w:rPr>
          <w:sz w:val="26"/>
          <w:szCs w:val="26"/>
          <w:lang w:val="sv-SE"/>
        </w:rPr>
        <w:t>V</w:t>
      </w:r>
      <w:r w:rsidRPr="008A3CFB">
        <w:rPr>
          <w:sz w:val="26"/>
          <w:szCs w:val="26"/>
          <w:lang w:val="sv-SE"/>
        </w:rPr>
        <w:t xml:space="preserve">, NLĐ; sử dụng các phương pháp thuận tiện, dễ hiểu để đoàn viên tự giác chấp hành chủ trương của Đảng, chính sách, pháp luật của Nhà nước, các chủ trương của ngành Giáo dục. Công đoàn đã triển khai các văn bản hướng dẫn, chỉ đạo để các Công đoàn bộ phận tổ chức cho đội ngũ cán bộ, nhà giáo và người lao động thảo luận, trực tiếp đóng góp ý kiến vào những văn bản của Đảng, Nhà nước, của ngành Giáo dục, của Công </w:t>
      </w:r>
      <w:r w:rsidRPr="008A3CFB">
        <w:rPr>
          <w:sz w:val="26"/>
          <w:szCs w:val="26"/>
          <w:lang w:val="sv-SE"/>
        </w:rPr>
        <w:lastRenderedPageBreak/>
        <w:t xml:space="preserve">đoàn giáo dục Việt Nam, của Nhà trường liên quan đến nghĩa vụ, quyền, lợi ích hợp pháp của nhà giáo và người lao động. Công đoàn Trường Sư phạm cũng là một trong những đơn vị tích cực tham gia các hoạt động do Công đoàn trường Đại học Vinh tổ chức, đạt giải </w:t>
      </w:r>
      <w:r w:rsidR="002F7A5C" w:rsidRPr="008A3CFB">
        <w:rPr>
          <w:sz w:val="26"/>
          <w:szCs w:val="26"/>
          <w:lang w:val="sv-SE"/>
        </w:rPr>
        <w:t xml:space="preserve">ba </w:t>
      </w:r>
      <w:r w:rsidRPr="008A3CFB">
        <w:rPr>
          <w:sz w:val="26"/>
          <w:szCs w:val="26"/>
          <w:lang w:val="sv-SE"/>
        </w:rPr>
        <w:t xml:space="preserve">toàn đoàn hoạt động thể thao, giải </w:t>
      </w:r>
      <w:r w:rsidR="007C7550" w:rsidRPr="008A3CFB">
        <w:rPr>
          <w:sz w:val="26"/>
          <w:szCs w:val="26"/>
          <w:lang w:val="sv-SE"/>
        </w:rPr>
        <w:t>Nhì</w:t>
      </w:r>
      <w:r w:rsidRPr="008A3CFB">
        <w:rPr>
          <w:sz w:val="26"/>
          <w:szCs w:val="26"/>
          <w:lang w:val="sv-SE"/>
        </w:rPr>
        <w:t xml:space="preserve"> toàn đoàn hoạt động văn nghệ Âm Vang mùa thu 20/10... và triển khai rất nhiều các hoạt động</w:t>
      </w:r>
      <w:r w:rsidRPr="008A3CFB">
        <w:rPr>
          <w:rStyle w:val="FootnoteReference"/>
          <w:sz w:val="26"/>
          <w:szCs w:val="26"/>
        </w:rPr>
        <w:footnoteReference w:id="9"/>
      </w:r>
      <w:r w:rsidRPr="008A3CFB">
        <w:rPr>
          <w:sz w:val="26"/>
          <w:szCs w:val="26"/>
          <w:lang w:val="sv-SE"/>
        </w:rPr>
        <w:t xml:space="preserve"> .</w:t>
      </w:r>
    </w:p>
    <w:p w14:paraId="12EF46EE" w14:textId="2B170020" w:rsidR="003F4A18" w:rsidRPr="008A3CFB" w:rsidRDefault="003F4A18" w:rsidP="003F4A18">
      <w:pPr>
        <w:widowControl w:val="0"/>
        <w:spacing w:before="60" w:after="60" w:line="26" w:lineRule="atLeast"/>
        <w:ind w:firstLine="709"/>
        <w:jc w:val="both"/>
        <w:rPr>
          <w:sz w:val="26"/>
          <w:szCs w:val="26"/>
        </w:rPr>
      </w:pPr>
      <w:r w:rsidRPr="008A3CFB">
        <w:rPr>
          <w:sz w:val="26"/>
          <w:szCs w:val="26"/>
          <w:lang w:val="es-ES"/>
        </w:rPr>
        <w:t xml:space="preserve">- </w:t>
      </w:r>
      <w:r w:rsidRPr="008A3CFB">
        <w:rPr>
          <w:sz w:val="26"/>
          <w:szCs w:val="26"/>
        </w:rPr>
        <w:t xml:space="preserve">Đoàn Thanh niên </w:t>
      </w:r>
      <w:r w:rsidR="00A2240A" w:rsidRPr="008A3CFB">
        <w:rPr>
          <w:sz w:val="26"/>
          <w:szCs w:val="26"/>
        </w:rPr>
        <w:t>-</w:t>
      </w:r>
      <w:r w:rsidRPr="008A3CFB">
        <w:rPr>
          <w:sz w:val="26"/>
          <w:szCs w:val="26"/>
        </w:rPr>
        <w:t xml:space="preserve"> Hội Sinh viên Trường Sư phạm đã phối hợp thực hiện và tổ chức được nhiều chương trình có ý nghĩa, có sức ảnh hưởng lớn trong sinh viên và tích cực lan tỏa, quảng bá hình ảnh về Trường Sư phạm - Trường Đại học Vinh</w:t>
      </w:r>
      <w:bookmarkStart w:id="2" w:name="_Hlk122012320"/>
      <w:r w:rsidRPr="008A3CFB">
        <w:rPr>
          <w:rStyle w:val="FootnoteReference"/>
          <w:sz w:val="26"/>
          <w:szCs w:val="26"/>
        </w:rPr>
        <w:footnoteReference w:id="10"/>
      </w:r>
      <w:bookmarkEnd w:id="2"/>
      <w:r w:rsidRPr="008A3CFB">
        <w:rPr>
          <w:sz w:val="26"/>
          <w:szCs w:val="26"/>
        </w:rPr>
        <w:t>.</w:t>
      </w:r>
      <w:r w:rsidRPr="008A3CFB">
        <w:rPr>
          <w:sz w:val="26"/>
          <w:szCs w:val="26"/>
          <w:lang w:val="sv-SE"/>
        </w:rPr>
        <w:t xml:space="preserve"> </w:t>
      </w:r>
      <w:r w:rsidRPr="008A3CFB">
        <w:rPr>
          <w:sz w:val="26"/>
          <w:szCs w:val="26"/>
          <w:lang w:val="es-ES"/>
        </w:rPr>
        <w:t xml:space="preserve">Liên chi đoàn, Liên chi hội Trường Sư phạm đã tích cực hưởng ứng các hoạt động do Đoàn </w:t>
      </w:r>
      <w:r w:rsidR="00A2240A" w:rsidRPr="008A3CFB">
        <w:rPr>
          <w:sz w:val="26"/>
          <w:szCs w:val="26"/>
          <w:lang w:val="es-ES"/>
        </w:rPr>
        <w:t>-</w:t>
      </w:r>
      <w:r w:rsidRPr="008A3CFB">
        <w:rPr>
          <w:sz w:val="26"/>
          <w:szCs w:val="26"/>
          <w:lang w:val="es-ES"/>
        </w:rPr>
        <w:t xml:space="preserve"> Hội cấp trên phát động, đồng thời tổ chức thành công nhiều hoạt động </w:t>
      </w:r>
      <w:r w:rsidRPr="008A3CFB">
        <w:rPr>
          <w:sz w:val="26"/>
          <w:szCs w:val="26"/>
        </w:rPr>
        <w:t>sôi nổi, phù hợp với thị hiếu, sở thích, phát huy tính tích cực, sáng tạo, chủ động của sinh viên,</w:t>
      </w:r>
      <w:r w:rsidRPr="008A3CFB">
        <w:rPr>
          <w:sz w:val="26"/>
          <w:szCs w:val="26"/>
          <w:lang w:val="nl-NL"/>
        </w:rPr>
        <w:t xml:space="preserve"> tập thể Liên chi đoàn, Liên chi hội và nhiều cá nhân tiêu biểu đã nhận được Giấy khen, Bằng khen từ cấp Đoàn/Hội Sinh viên trường đến cấp Trung ương Đoàn/Trung ương Hội Sinh viên, đã giới thiệu được gần </w:t>
      </w:r>
      <w:r w:rsidR="00803BC1" w:rsidRPr="008A3CFB">
        <w:rPr>
          <w:sz w:val="26"/>
          <w:szCs w:val="26"/>
          <w:lang w:val="nl-NL"/>
        </w:rPr>
        <w:t>97</w:t>
      </w:r>
      <w:r w:rsidRPr="008A3CFB">
        <w:rPr>
          <w:sz w:val="26"/>
          <w:szCs w:val="26"/>
          <w:lang w:val="nl-NL"/>
        </w:rPr>
        <w:t xml:space="preserve"> Đoàn viên ưu tú tham gia học lớp cảm tình Đảng. Các Câu lạc bộ đội nhóm của trường Sư phạm cũng có nhiều hoạt động nổi bật, là lực lượng chính trong các hoạt động văn hóa, văn nghệ của nhà trường. </w:t>
      </w:r>
      <w:r w:rsidRPr="008A3CFB">
        <w:rPr>
          <w:sz w:val="26"/>
          <w:szCs w:val="26"/>
        </w:rPr>
        <w:t>Tổ chức thành công Đại hội Đoàn trường Sư phạm nhiệm kỳ 2022</w:t>
      </w:r>
      <w:r w:rsidR="00A2240A" w:rsidRPr="008A3CFB">
        <w:rPr>
          <w:sz w:val="26"/>
          <w:szCs w:val="26"/>
        </w:rPr>
        <w:t xml:space="preserve"> </w:t>
      </w:r>
      <w:r w:rsidRPr="008A3CFB">
        <w:rPr>
          <w:sz w:val="26"/>
          <w:szCs w:val="26"/>
        </w:rPr>
        <w:t xml:space="preserve">- 2024, Đại hội Hội sinh viên trường Sư phạm nhiệm kỳ 2022 </w:t>
      </w:r>
      <w:r w:rsidR="00A2240A" w:rsidRPr="008A3CFB">
        <w:rPr>
          <w:sz w:val="26"/>
          <w:szCs w:val="26"/>
        </w:rPr>
        <w:t>-</w:t>
      </w:r>
      <w:r w:rsidRPr="008A3CFB">
        <w:rPr>
          <w:sz w:val="26"/>
          <w:szCs w:val="26"/>
        </w:rPr>
        <w:t xml:space="preserve"> 2024.</w:t>
      </w:r>
    </w:p>
    <w:p w14:paraId="175ED1C7" w14:textId="77777777" w:rsidR="003F4A18" w:rsidRPr="008A3CFB" w:rsidRDefault="003F4A18" w:rsidP="003F4A18">
      <w:pPr>
        <w:widowControl w:val="0"/>
        <w:tabs>
          <w:tab w:val="left" w:pos="540"/>
        </w:tabs>
        <w:spacing w:before="60" w:after="60" w:line="26" w:lineRule="atLeast"/>
        <w:jc w:val="both"/>
        <w:rPr>
          <w:b/>
          <w:spacing w:val="-4"/>
          <w:sz w:val="26"/>
          <w:szCs w:val="26"/>
          <w:lang w:val="it-IT"/>
        </w:rPr>
      </w:pPr>
      <w:r w:rsidRPr="008A3CFB">
        <w:rPr>
          <w:b/>
          <w:spacing w:val="-4"/>
          <w:sz w:val="26"/>
          <w:szCs w:val="26"/>
          <w:lang w:val="it-IT"/>
        </w:rPr>
        <w:t>12. Đánh giá chung</w:t>
      </w:r>
    </w:p>
    <w:p w14:paraId="2BA287C0" w14:textId="77777777" w:rsidR="003F4A18" w:rsidRPr="008A3CFB" w:rsidRDefault="003F4A18" w:rsidP="003F4A18">
      <w:pPr>
        <w:widowControl w:val="0"/>
        <w:tabs>
          <w:tab w:val="left" w:pos="540"/>
        </w:tabs>
        <w:spacing w:before="60" w:after="60" w:line="26" w:lineRule="atLeast"/>
        <w:ind w:firstLine="720"/>
        <w:jc w:val="both"/>
        <w:rPr>
          <w:b/>
          <w:spacing w:val="-4"/>
          <w:sz w:val="26"/>
          <w:szCs w:val="26"/>
          <w:lang w:val="it-IT"/>
        </w:rPr>
      </w:pPr>
      <w:r w:rsidRPr="008A3CFB">
        <w:rPr>
          <w:bCs/>
          <w:spacing w:val="-4"/>
          <w:sz w:val="26"/>
          <w:szCs w:val="26"/>
          <w:lang w:val="it-IT"/>
        </w:rPr>
        <w:t>Các đơn vị thực hiện tái cấu trúc Nhà trường, ra đời và hoạt động trong bối cảnh hết sức khó khăn của giáo dục đại học nói chung và ngành Sư phạm nói riêng, nhưng nhờ sự quan tâm chỉ đạo của Đảng ủy, Ban Giám hiệu, sự phối hợp của các phòng ban chức năng của Nhà trường, cũng như sự nỗ lực của tập thể CBVC, các đơn vị đã hoàn thành tốt nhiệm vụ năm 2022. Bên cạnh những thành tựu đạt được,Trường Sư phạm vẫn còn tồn tại một số hạn chế cần khắc phục, kính đề nghị Nhà trường quan tâm, chỉ đạo sát sao hơn nữa hoạt động của Trường Sư phạm để tiếp tục phát huy truyền thống, xây dựng trường ngày càng vững mạnh.</w:t>
      </w:r>
    </w:p>
    <w:p w14:paraId="3BE01895" w14:textId="77777777" w:rsidR="003F4A18" w:rsidRPr="008A3CFB" w:rsidRDefault="003F4A18" w:rsidP="003F4A18">
      <w:pPr>
        <w:widowControl w:val="0"/>
      </w:pPr>
    </w:p>
    <w:p w14:paraId="380CB623" w14:textId="5AB424F2" w:rsidR="00F80D96" w:rsidRPr="008A3CFB" w:rsidRDefault="00F80D96" w:rsidP="003F4A18">
      <w:pPr>
        <w:widowControl w:val="0"/>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92"/>
      </w:tblGrid>
      <w:tr w:rsidR="008A3CFB" w:rsidRPr="008A3CFB" w14:paraId="6E644098" w14:textId="77777777" w:rsidTr="00FA1BE7">
        <w:tc>
          <w:tcPr>
            <w:tcW w:w="4678" w:type="dxa"/>
          </w:tcPr>
          <w:p w14:paraId="2CC790BA" w14:textId="77777777" w:rsidR="00F80D96" w:rsidRPr="008A3CFB" w:rsidRDefault="00F80D96" w:rsidP="003F4A18">
            <w:pPr>
              <w:widowControl w:val="0"/>
              <w:jc w:val="center"/>
              <w:rPr>
                <w:sz w:val="26"/>
                <w:szCs w:val="26"/>
              </w:rPr>
            </w:pPr>
          </w:p>
        </w:tc>
        <w:tc>
          <w:tcPr>
            <w:tcW w:w="4392" w:type="dxa"/>
          </w:tcPr>
          <w:p w14:paraId="61D4E9D2" w14:textId="7B58C405" w:rsidR="00F80D96" w:rsidRPr="008A3CFB" w:rsidRDefault="00FA1BE7" w:rsidP="008A3CFB">
            <w:pPr>
              <w:widowControl w:val="0"/>
              <w:jc w:val="center"/>
              <w:rPr>
                <w:b/>
                <w:bCs/>
                <w:sz w:val="26"/>
                <w:szCs w:val="26"/>
              </w:rPr>
            </w:pPr>
            <w:r w:rsidRPr="008A3CFB">
              <w:rPr>
                <w:b/>
                <w:bCs/>
                <w:sz w:val="26"/>
                <w:szCs w:val="26"/>
              </w:rPr>
              <w:t xml:space="preserve">HIỆU </w:t>
            </w:r>
            <w:r w:rsidR="00F80D96" w:rsidRPr="008A3CFB">
              <w:rPr>
                <w:b/>
                <w:bCs/>
                <w:sz w:val="26"/>
                <w:szCs w:val="26"/>
              </w:rPr>
              <w:t>TRƯỞNG</w:t>
            </w:r>
          </w:p>
          <w:p w14:paraId="537B989E" w14:textId="73525C23" w:rsidR="00C750F1" w:rsidRPr="008A3CFB" w:rsidRDefault="00C750F1" w:rsidP="008A3CFB">
            <w:pPr>
              <w:widowControl w:val="0"/>
              <w:jc w:val="center"/>
              <w:rPr>
                <w:i/>
                <w:iCs/>
                <w:sz w:val="26"/>
                <w:szCs w:val="26"/>
              </w:rPr>
            </w:pPr>
          </w:p>
          <w:p w14:paraId="39A59351" w14:textId="25174C5A" w:rsidR="00FA1BE7" w:rsidRPr="008A3CFB" w:rsidRDefault="00FA1BE7" w:rsidP="008A3CFB">
            <w:pPr>
              <w:widowControl w:val="0"/>
              <w:jc w:val="center"/>
              <w:rPr>
                <w:i/>
                <w:iCs/>
                <w:sz w:val="26"/>
                <w:szCs w:val="26"/>
              </w:rPr>
            </w:pPr>
          </w:p>
          <w:p w14:paraId="7F07EEE2" w14:textId="79C1DE80" w:rsidR="00C750F1" w:rsidRPr="008A3CFB" w:rsidRDefault="00C750F1" w:rsidP="008A3CFB">
            <w:pPr>
              <w:widowControl w:val="0"/>
              <w:jc w:val="center"/>
              <w:rPr>
                <w:i/>
                <w:iCs/>
                <w:sz w:val="26"/>
                <w:szCs w:val="26"/>
              </w:rPr>
            </w:pPr>
          </w:p>
        </w:tc>
      </w:tr>
      <w:tr w:rsidR="008A3CFB" w:rsidRPr="008A3CFB" w14:paraId="04ACCF55" w14:textId="77777777" w:rsidTr="00FA1BE7">
        <w:tc>
          <w:tcPr>
            <w:tcW w:w="4678" w:type="dxa"/>
          </w:tcPr>
          <w:p w14:paraId="6EEC63D1" w14:textId="77777777" w:rsidR="008A3CFB" w:rsidRPr="008A3CFB" w:rsidRDefault="008A3CFB" w:rsidP="003F4A18">
            <w:pPr>
              <w:widowControl w:val="0"/>
              <w:jc w:val="center"/>
              <w:rPr>
                <w:sz w:val="26"/>
                <w:szCs w:val="26"/>
              </w:rPr>
            </w:pPr>
          </w:p>
        </w:tc>
        <w:tc>
          <w:tcPr>
            <w:tcW w:w="4392" w:type="dxa"/>
          </w:tcPr>
          <w:p w14:paraId="7DBE32B9" w14:textId="77777777" w:rsidR="008A3CFB" w:rsidRPr="008A3CFB" w:rsidRDefault="008A3CFB" w:rsidP="008A3CFB">
            <w:pPr>
              <w:widowControl w:val="0"/>
              <w:rPr>
                <w:b/>
                <w:bCs/>
                <w:sz w:val="26"/>
                <w:szCs w:val="26"/>
              </w:rPr>
            </w:pPr>
          </w:p>
        </w:tc>
      </w:tr>
    </w:tbl>
    <w:p w14:paraId="3D262807" w14:textId="77777777" w:rsidR="00FA1BE7" w:rsidRPr="008A3CFB" w:rsidRDefault="00FA1BE7" w:rsidP="003F4A18">
      <w:pPr>
        <w:widowControl w:val="0"/>
        <w:rPr>
          <w:b/>
          <w:bCs/>
          <w:sz w:val="26"/>
          <w:szCs w:val="26"/>
        </w:rPr>
      </w:pPr>
    </w:p>
    <w:p w14:paraId="50D5589D" w14:textId="2EFFADA7" w:rsidR="00C750F1" w:rsidRPr="008A3CFB" w:rsidRDefault="00FA1BE7" w:rsidP="008A3CFB">
      <w:pPr>
        <w:widowControl w:val="0"/>
        <w:ind w:left="4320" w:firstLine="720"/>
        <w:rPr>
          <w:b/>
          <w:bCs/>
        </w:rPr>
      </w:pPr>
      <w:r w:rsidRPr="008A3CFB">
        <w:rPr>
          <w:b/>
          <w:bCs/>
        </w:rPr>
        <w:t xml:space="preserve">       </w:t>
      </w:r>
      <w:r w:rsidR="00C750F1" w:rsidRPr="008A3CFB">
        <w:rPr>
          <w:b/>
          <w:bCs/>
          <w:sz w:val="26"/>
        </w:rPr>
        <w:t>PGS.TS. Lưu Tiến Hưn</w:t>
      </w:r>
      <w:r w:rsidR="008A3CFB" w:rsidRPr="008A3CFB">
        <w:rPr>
          <w:b/>
          <w:bCs/>
          <w:sz w:val="26"/>
        </w:rPr>
        <w:t>g</w:t>
      </w:r>
    </w:p>
    <w:p w14:paraId="7F7B56E8" w14:textId="39C1F140" w:rsidR="00C750F1" w:rsidRPr="008A3CFB" w:rsidRDefault="00C750F1" w:rsidP="003F4A18">
      <w:pPr>
        <w:widowControl w:val="0"/>
        <w:ind w:left="5040" w:firstLine="720"/>
        <w:jc w:val="both"/>
      </w:pPr>
    </w:p>
    <w:sectPr w:rsidR="00C750F1" w:rsidRPr="008A3CFB" w:rsidSect="003F4A18">
      <w:footerReference w:type="default" r:id="rId8"/>
      <w:footnotePr>
        <w:numRestart w:val="eachPage"/>
      </w:footnotePr>
      <w:pgSz w:w="11907" w:h="16840" w:code="9"/>
      <w:pgMar w:top="1134" w:right="11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2A1CE" w14:textId="77777777" w:rsidR="00594760" w:rsidRDefault="00594760" w:rsidP="006C4CD2">
      <w:r>
        <w:separator/>
      </w:r>
    </w:p>
  </w:endnote>
  <w:endnote w:type="continuationSeparator" w:id="0">
    <w:p w14:paraId="4EDCBE2B" w14:textId="77777777" w:rsidR="00594760" w:rsidRDefault="00594760" w:rsidP="006C4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albaum">
    <w:altName w:val="Malgun Gothic Semilight"/>
    <w:charset w:val="00"/>
    <w:family w:val="roman"/>
    <w:pitch w:val="variable"/>
    <w:sig w:usb0="20000A87" w:usb1="08000000" w:usb2="00000008" w:usb3="00000000" w:csb0="000001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4578401"/>
      <w:docPartObj>
        <w:docPartGallery w:val="Page Numbers (Bottom of Page)"/>
        <w:docPartUnique/>
      </w:docPartObj>
    </w:sdtPr>
    <w:sdtEndPr>
      <w:rPr>
        <w:noProof/>
        <w:sz w:val="26"/>
        <w:szCs w:val="26"/>
      </w:rPr>
    </w:sdtEndPr>
    <w:sdtContent>
      <w:p w14:paraId="3AD5C1D2" w14:textId="55366B7C" w:rsidR="003F4A18" w:rsidRPr="003F4A18" w:rsidRDefault="003F4A18">
        <w:pPr>
          <w:pStyle w:val="Footer"/>
          <w:jc w:val="center"/>
          <w:rPr>
            <w:sz w:val="26"/>
            <w:szCs w:val="26"/>
          </w:rPr>
        </w:pPr>
        <w:r w:rsidRPr="003F4A18">
          <w:rPr>
            <w:sz w:val="26"/>
            <w:szCs w:val="26"/>
          </w:rPr>
          <w:fldChar w:fldCharType="begin"/>
        </w:r>
        <w:r w:rsidRPr="003F4A18">
          <w:rPr>
            <w:sz w:val="26"/>
            <w:szCs w:val="26"/>
          </w:rPr>
          <w:instrText xml:space="preserve"> PAGE   \* MERGEFORMAT </w:instrText>
        </w:r>
        <w:r w:rsidRPr="003F4A18">
          <w:rPr>
            <w:sz w:val="26"/>
            <w:szCs w:val="26"/>
          </w:rPr>
          <w:fldChar w:fldCharType="separate"/>
        </w:r>
        <w:r w:rsidRPr="003F4A18">
          <w:rPr>
            <w:noProof/>
            <w:sz w:val="26"/>
            <w:szCs w:val="26"/>
          </w:rPr>
          <w:t>2</w:t>
        </w:r>
        <w:r w:rsidRPr="003F4A18">
          <w:rPr>
            <w:noProof/>
            <w:sz w:val="26"/>
            <w:szCs w:val="26"/>
          </w:rPr>
          <w:fldChar w:fldCharType="end"/>
        </w:r>
      </w:p>
    </w:sdtContent>
  </w:sdt>
  <w:p w14:paraId="7FC0A8A4" w14:textId="77777777" w:rsidR="003F4A18" w:rsidRDefault="003F4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F62BFC" w14:textId="77777777" w:rsidR="00594760" w:rsidRDefault="00594760" w:rsidP="006C4CD2">
      <w:r>
        <w:separator/>
      </w:r>
    </w:p>
  </w:footnote>
  <w:footnote w:type="continuationSeparator" w:id="0">
    <w:p w14:paraId="519BFC9E" w14:textId="77777777" w:rsidR="00594760" w:rsidRDefault="00594760" w:rsidP="006C4CD2">
      <w:r>
        <w:continuationSeparator/>
      </w:r>
    </w:p>
  </w:footnote>
  <w:footnote w:id="1">
    <w:p w14:paraId="153E9D08" w14:textId="31E7AA97" w:rsidR="003F4A18" w:rsidRPr="003F51E1" w:rsidRDefault="003F4A18" w:rsidP="00CA30E4">
      <w:pPr>
        <w:pStyle w:val="ListParagraph"/>
        <w:spacing w:before="60" w:line="264" w:lineRule="auto"/>
        <w:ind w:left="0"/>
        <w:jc w:val="both"/>
        <w:rPr>
          <w:sz w:val="20"/>
          <w:szCs w:val="20"/>
        </w:rPr>
      </w:pPr>
      <w:r w:rsidRPr="003F51E1">
        <w:rPr>
          <w:rStyle w:val="FootnoteReference"/>
          <w:sz w:val="20"/>
          <w:szCs w:val="20"/>
        </w:rPr>
        <w:footnoteRef/>
      </w:r>
      <w:r w:rsidRPr="003F51E1">
        <w:rPr>
          <w:sz w:val="20"/>
          <w:szCs w:val="20"/>
        </w:rPr>
        <w:t xml:space="preserve"> Đã </w:t>
      </w:r>
      <w:r w:rsidRPr="003F51E1">
        <w:rPr>
          <w:bCs/>
          <w:iCs/>
          <w:sz w:val="20"/>
          <w:szCs w:val="20"/>
          <w:lang w:val="nl-NL"/>
        </w:rPr>
        <w:t>triển khai</w:t>
      </w:r>
      <w:r w:rsidR="00D709D5" w:rsidRPr="003F51E1">
        <w:rPr>
          <w:bCs/>
          <w:iCs/>
          <w:sz w:val="20"/>
          <w:szCs w:val="20"/>
          <w:lang w:val="nl-NL"/>
        </w:rPr>
        <w:t xml:space="preserve">, </w:t>
      </w:r>
      <w:r w:rsidRPr="003F51E1">
        <w:rPr>
          <w:bCs/>
          <w:iCs/>
          <w:sz w:val="20"/>
          <w:szCs w:val="20"/>
          <w:lang w:val="nl-NL"/>
        </w:rPr>
        <w:t xml:space="preserve">tổ chức bồi dưỡng: </w:t>
      </w:r>
      <w:r w:rsidR="00CA30E4" w:rsidRPr="003F51E1">
        <w:rPr>
          <w:bCs/>
          <w:sz w:val="20"/>
          <w:szCs w:val="20"/>
        </w:rPr>
        <w:t xml:space="preserve">dưỡng </w:t>
      </w:r>
      <w:r w:rsidR="00CA30E4" w:rsidRPr="003F51E1">
        <w:rPr>
          <w:bCs/>
          <w:iCs/>
          <w:sz w:val="20"/>
          <w:szCs w:val="20"/>
          <w:lang w:val="nl-NL"/>
        </w:rPr>
        <w:t xml:space="preserve">01 lớp bồi dưỡng và cấp chứng chỉ NVSP giảng viên cho 32 GV, 01 lớp bồi dưỡng và </w:t>
      </w:r>
      <w:r w:rsidR="00DC2CD3" w:rsidRPr="003F51E1">
        <w:rPr>
          <w:bCs/>
          <w:iCs/>
          <w:sz w:val="20"/>
          <w:szCs w:val="20"/>
          <w:lang w:val="nl-NL"/>
        </w:rPr>
        <w:t xml:space="preserve">cấp </w:t>
      </w:r>
      <w:r w:rsidR="00CA30E4" w:rsidRPr="003F51E1">
        <w:rPr>
          <w:bCs/>
          <w:iCs/>
          <w:sz w:val="20"/>
          <w:szCs w:val="20"/>
          <w:lang w:val="nl-NL"/>
        </w:rPr>
        <w:t xml:space="preserve">chứng chỉ NVSP giáo viên phổ thông cho 41 GV, 01 lớp bồi dưỡng và cấp chứng chỉ lớp Bồi dưỡng </w:t>
      </w:r>
      <w:r w:rsidR="00DC2CD3" w:rsidRPr="003F51E1">
        <w:rPr>
          <w:bCs/>
          <w:iCs/>
          <w:sz w:val="20"/>
          <w:szCs w:val="20"/>
          <w:lang w:val="nl-NL"/>
        </w:rPr>
        <w:t>NVQL</w:t>
      </w:r>
      <w:r w:rsidR="00CA30E4" w:rsidRPr="003F51E1">
        <w:rPr>
          <w:bCs/>
          <w:iCs/>
          <w:sz w:val="20"/>
          <w:szCs w:val="20"/>
          <w:lang w:val="nl-NL"/>
        </w:rPr>
        <w:t>, chăm sóc, nuôi dưỡng giáo dục trẻ em tại các cơ sở giáo dục mầm non cho 29 hv. 01 lớp bồi dưỡng và cấp giấy chứng nhận lớp</w:t>
      </w:r>
      <w:r w:rsidR="00A70E14" w:rsidRPr="003F51E1">
        <w:rPr>
          <w:bCs/>
          <w:iCs/>
          <w:sz w:val="20"/>
          <w:szCs w:val="20"/>
          <w:lang w:val="nl-NL"/>
        </w:rPr>
        <w:t xml:space="preserve"> BDNV</w:t>
      </w:r>
      <w:r w:rsidR="00CA30E4" w:rsidRPr="003F51E1">
        <w:rPr>
          <w:bCs/>
          <w:iCs/>
          <w:sz w:val="20"/>
          <w:szCs w:val="20"/>
          <w:lang w:val="nl-NL"/>
        </w:rPr>
        <w:t xml:space="preserve"> Cấp dưỡng Mầm non cho 30 hv, bố trí giảng viên, sắp xếp kế hoạch tổ chức các lớp bồi dưỡng và cấp chứng chỉ </w:t>
      </w:r>
      <w:r w:rsidR="00A70E14" w:rsidRPr="003F51E1">
        <w:rPr>
          <w:bCs/>
          <w:iCs/>
          <w:sz w:val="20"/>
          <w:szCs w:val="20"/>
          <w:lang w:val="nl-NL"/>
        </w:rPr>
        <w:t>CDNN</w:t>
      </w:r>
      <w:r w:rsidR="00CA30E4" w:rsidRPr="003F51E1">
        <w:rPr>
          <w:bCs/>
          <w:iCs/>
          <w:sz w:val="20"/>
          <w:szCs w:val="20"/>
          <w:lang w:val="nl-NL"/>
        </w:rPr>
        <w:t xml:space="preserve"> cho hơn 15.000 giáo viên bậc phổ thông, mầm non. bồi dưỡng </w:t>
      </w:r>
      <w:r w:rsidR="00A70E14" w:rsidRPr="003F51E1">
        <w:rPr>
          <w:bCs/>
          <w:iCs/>
          <w:sz w:val="20"/>
          <w:szCs w:val="20"/>
          <w:lang w:val="nl-NL"/>
        </w:rPr>
        <w:t>CDNN</w:t>
      </w:r>
      <w:r w:rsidR="00CA30E4" w:rsidRPr="003F51E1">
        <w:rPr>
          <w:bCs/>
          <w:iCs/>
          <w:sz w:val="20"/>
          <w:szCs w:val="20"/>
          <w:lang w:val="nl-NL"/>
        </w:rPr>
        <w:t xml:space="preserve"> giảng viên cho 1 lớp đã hoàn thành gồm 123 học viên, phối hợp thực hiện kế hoạch bồi dưỡng </w:t>
      </w:r>
      <w:r w:rsidR="00A70E14" w:rsidRPr="003F51E1">
        <w:rPr>
          <w:bCs/>
          <w:iCs/>
          <w:sz w:val="20"/>
          <w:szCs w:val="20"/>
          <w:lang w:val="nl-NL"/>
        </w:rPr>
        <w:t>GV</w:t>
      </w:r>
      <w:r w:rsidR="00CA30E4" w:rsidRPr="003F51E1">
        <w:rPr>
          <w:bCs/>
          <w:iCs/>
          <w:sz w:val="20"/>
          <w:szCs w:val="20"/>
          <w:lang w:val="nl-NL"/>
        </w:rPr>
        <w:t xml:space="preserve"> dạy mầm non, lớp 3, lớp 4 và lớp 10 trên địa bàn tỉnh Nghệ An cho 16.231 học viên, 270 lớp, 14 đợt bồi dưỡng trên địa bàn 21 huyện, thành, thị, điều động 12.668 lượt giảng viên tham gia.</w:t>
      </w:r>
    </w:p>
  </w:footnote>
  <w:footnote w:id="2">
    <w:p w14:paraId="1E1AEBF0" w14:textId="7526DFC8" w:rsidR="003F4A18" w:rsidRPr="004D75BA" w:rsidRDefault="003F4A18" w:rsidP="003F4A18">
      <w:pPr>
        <w:jc w:val="both"/>
        <w:rPr>
          <w:sz w:val="22"/>
          <w:szCs w:val="22"/>
          <w:lang w:val="nl-NL"/>
        </w:rPr>
      </w:pPr>
      <w:r w:rsidRPr="003F51E1">
        <w:rPr>
          <w:rStyle w:val="FootnoteReference"/>
          <w:sz w:val="20"/>
          <w:szCs w:val="20"/>
        </w:rPr>
        <w:footnoteRef/>
      </w:r>
      <w:r w:rsidRPr="003F51E1">
        <w:rPr>
          <w:sz w:val="20"/>
          <w:szCs w:val="20"/>
          <w:lang w:val="vi-VN"/>
        </w:rPr>
        <w:t xml:space="preserve"> </w:t>
      </w:r>
      <w:r w:rsidRPr="003F51E1">
        <w:rPr>
          <w:sz w:val="20"/>
          <w:szCs w:val="20"/>
          <w:lang w:val="nl-NL"/>
        </w:rPr>
        <w:t xml:space="preserve">Tổng số giờ giảng dạy phải đảm nhận theo chức danh: </w:t>
      </w:r>
      <w:r w:rsidR="00412017" w:rsidRPr="003F51E1">
        <w:rPr>
          <w:sz w:val="20"/>
          <w:szCs w:val="20"/>
          <w:lang w:val="nl-NL"/>
        </w:rPr>
        <w:t>36</w:t>
      </w:r>
      <w:r w:rsidR="00B50655" w:rsidRPr="003F51E1">
        <w:rPr>
          <w:sz w:val="20"/>
          <w:szCs w:val="20"/>
          <w:lang w:val="nl-NL"/>
        </w:rPr>
        <w:t>.</w:t>
      </w:r>
      <w:r w:rsidR="00412017" w:rsidRPr="003F51E1">
        <w:rPr>
          <w:sz w:val="20"/>
          <w:szCs w:val="20"/>
          <w:lang w:val="nl-NL"/>
        </w:rPr>
        <w:t>120</w:t>
      </w:r>
      <w:r w:rsidR="00B50655" w:rsidRPr="003F51E1">
        <w:rPr>
          <w:sz w:val="20"/>
          <w:szCs w:val="20"/>
          <w:lang w:val="nl-NL"/>
        </w:rPr>
        <w:t xml:space="preserve"> </w:t>
      </w:r>
      <w:r w:rsidRPr="003F51E1">
        <w:rPr>
          <w:sz w:val="20"/>
          <w:szCs w:val="20"/>
          <w:lang w:val="nl-NL"/>
        </w:rPr>
        <w:t xml:space="preserve">giờ. Tổng số giờ giảng dạy được miễn giảm: </w:t>
      </w:r>
      <w:r w:rsidR="00B50655" w:rsidRPr="003F51E1">
        <w:rPr>
          <w:sz w:val="20"/>
          <w:szCs w:val="20"/>
          <w:lang w:val="nl-NL"/>
        </w:rPr>
        <w:t>6.217</w:t>
      </w:r>
      <w:r w:rsidRPr="003F51E1">
        <w:rPr>
          <w:sz w:val="20"/>
          <w:szCs w:val="20"/>
          <w:lang w:val="nl-NL"/>
        </w:rPr>
        <w:t xml:space="preserve"> giờ, Tổng số giờ chuẩn giảng dạy được giao đảm nhận sau khi đã được miễn giảm là </w:t>
      </w:r>
      <w:r w:rsidR="00B50655" w:rsidRPr="003F51E1">
        <w:rPr>
          <w:sz w:val="20"/>
          <w:szCs w:val="20"/>
          <w:lang w:val="nl-NL"/>
        </w:rPr>
        <w:t>29.903</w:t>
      </w:r>
      <w:r w:rsidRPr="003F51E1">
        <w:rPr>
          <w:sz w:val="20"/>
          <w:szCs w:val="20"/>
          <w:lang w:val="nl-NL"/>
        </w:rPr>
        <w:t>giờ.</w:t>
      </w:r>
    </w:p>
  </w:footnote>
  <w:footnote w:id="3">
    <w:p w14:paraId="0F2CD3DA" w14:textId="6606476B" w:rsidR="003F4A18" w:rsidRPr="008A3CFB" w:rsidRDefault="00DC2CD3" w:rsidP="003F4A18">
      <w:pPr>
        <w:pStyle w:val="BodyText"/>
        <w:widowControl w:val="0"/>
        <w:rPr>
          <w:rFonts w:ascii="Times New Roman" w:hAnsi="Times New Roman"/>
          <w:b/>
          <w:bCs/>
          <w:iCs/>
          <w:spacing w:val="-2"/>
          <w:sz w:val="20"/>
          <w:lang w:val="vi-VN"/>
        </w:rPr>
      </w:pPr>
      <w:r w:rsidRPr="003F51E1">
        <w:rPr>
          <w:rStyle w:val="FootnoteReference"/>
          <w:rFonts w:ascii="Times New Roman" w:hAnsi="Times New Roman"/>
          <w:sz w:val="20"/>
        </w:rPr>
        <w:t>1</w:t>
      </w:r>
      <w:r w:rsidR="003F4A18" w:rsidRPr="003F51E1">
        <w:rPr>
          <w:rFonts w:ascii="Times New Roman" w:hAnsi="Times New Roman"/>
          <w:sz w:val="20"/>
          <w:lang w:val="nl-NL"/>
        </w:rPr>
        <w:t xml:space="preserve"> </w:t>
      </w:r>
      <w:r w:rsidR="003F4A18" w:rsidRPr="008A3CFB">
        <w:rPr>
          <w:rFonts w:ascii="Times New Roman" w:hAnsi="Times New Roman"/>
          <w:sz w:val="20"/>
        </w:rPr>
        <w:t>Học phần Nhập môn sư phạm được triển khai cho khóa 6</w:t>
      </w:r>
      <w:r w:rsidR="00424FEE" w:rsidRPr="008A3CFB">
        <w:rPr>
          <w:rFonts w:ascii="Times New Roman" w:hAnsi="Times New Roman"/>
          <w:sz w:val="20"/>
        </w:rPr>
        <w:t>4</w:t>
      </w:r>
      <w:r w:rsidR="003F4A18" w:rsidRPr="008A3CFB">
        <w:rPr>
          <w:rFonts w:ascii="Times New Roman" w:hAnsi="Times New Roman"/>
          <w:sz w:val="20"/>
        </w:rPr>
        <w:t xml:space="preserve">, với tổng số </w:t>
      </w:r>
      <w:r w:rsidR="00865744" w:rsidRPr="00921011">
        <w:rPr>
          <w:rFonts w:ascii="Times New Roman" w:hAnsi="Times New Roman"/>
          <w:sz w:val="20"/>
        </w:rPr>
        <w:t>582</w:t>
      </w:r>
      <w:r w:rsidR="003F4A18" w:rsidRPr="008A3CFB">
        <w:rPr>
          <w:rFonts w:ascii="Times New Roman" w:hAnsi="Times New Roman"/>
          <w:sz w:val="20"/>
        </w:rPr>
        <w:t xml:space="preserve"> sinh viên</w:t>
      </w:r>
      <w:r w:rsidR="003F4A18" w:rsidRPr="00921011">
        <w:rPr>
          <w:rFonts w:ascii="Times New Roman" w:hAnsi="Times New Roman"/>
          <w:sz w:val="20"/>
        </w:rPr>
        <w:t xml:space="preserve">, </w:t>
      </w:r>
      <w:r w:rsidR="00976D68" w:rsidRPr="00921011">
        <w:rPr>
          <w:rFonts w:ascii="Times New Roman" w:hAnsi="Times New Roman"/>
          <w:sz w:val="20"/>
        </w:rPr>
        <w:t>2</w:t>
      </w:r>
      <w:r w:rsidR="003F4A18" w:rsidRPr="00921011">
        <w:rPr>
          <w:rFonts w:ascii="Times New Roman" w:hAnsi="Times New Roman"/>
          <w:sz w:val="20"/>
        </w:rPr>
        <w:t>1</w:t>
      </w:r>
      <w:r w:rsidR="003F4A18" w:rsidRPr="008A3CFB">
        <w:rPr>
          <w:rFonts w:ascii="Times New Roman" w:hAnsi="Times New Roman"/>
          <w:sz w:val="20"/>
        </w:rPr>
        <w:t xml:space="preserve"> lớp học phần, bố trí Thực hành đồ án nhập môn sư phạm tại </w:t>
      </w:r>
      <w:r w:rsidR="003F4A18" w:rsidRPr="00921011">
        <w:rPr>
          <w:rFonts w:ascii="Times New Roman" w:hAnsi="Times New Roman"/>
          <w:sz w:val="20"/>
        </w:rPr>
        <w:t>25</w:t>
      </w:r>
      <w:r w:rsidR="003F4A18" w:rsidRPr="008A3CFB">
        <w:rPr>
          <w:rFonts w:ascii="Times New Roman" w:hAnsi="Times New Roman"/>
          <w:sz w:val="20"/>
        </w:rPr>
        <w:t xml:space="preserve"> trường phổ thông và mầm non, </w:t>
      </w:r>
      <w:r w:rsidR="003F4A18" w:rsidRPr="00921011">
        <w:rPr>
          <w:rFonts w:ascii="Times New Roman" w:hAnsi="Times New Roman"/>
          <w:sz w:val="20"/>
        </w:rPr>
        <w:t>94</w:t>
      </w:r>
      <w:r w:rsidR="003F4A18" w:rsidRPr="008A3CFB">
        <w:rPr>
          <w:rFonts w:ascii="Times New Roman" w:hAnsi="Times New Roman"/>
          <w:sz w:val="20"/>
        </w:rPr>
        <w:t xml:space="preserve"> nhóm chuyên môn.</w:t>
      </w:r>
    </w:p>
  </w:footnote>
  <w:footnote w:id="4">
    <w:p w14:paraId="45C80F30" w14:textId="764B5C9C" w:rsidR="003F4A18" w:rsidRPr="008A3CFB" w:rsidRDefault="00DC2CD3" w:rsidP="003F4A18">
      <w:pPr>
        <w:pStyle w:val="FootnoteText"/>
        <w:jc w:val="both"/>
        <w:rPr>
          <w:lang w:val="nl-NL"/>
        </w:rPr>
      </w:pPr>
      <w:r w:rsidRPr="008A3CFB">
        <w:rPr>
          <w:rStyle w:val="FootnoteReference"/>
        </w:rPr>
        <w:t>2</w:t>
      </w:r>
      <w:r w:rsidR="003F4A18" w:rsidRPr="008A3CFB">
        <w:rPr>
          <w:lang w:val="nl-NL"/>
        </w:rPr>
        <w:t xml:space="preserve"> Trường hiện nay quản lý 15 chuyên ngành đào tạo Tiến sĩ, 2</w:t>
      </w:r>
      <w:r w:rsidR="007826FD" w:rsidRPr="008A3CFB">
        <w:rPr>
          <w:lang w:val="nl-NL"/>
        </w:rPr>
        <w:t>5</w:t>
      </w:r>
      <w:r w:rsidR="003F4A18" w:rsidRPr="008A3CFB">
        <w:rPr>
          <w:lang w:val="nl-NL"/>
        </w:rPr>
        <w:t xml:space="preserve"> chyên ngành đào tạo Thạc sĩ. Trong năm học qua có </w:t>
      </w:r>
      <w:r w:rsidR="003F4A18" w:rsidRPr="00921011">
        <w:rPr>
          <w:lang w:val="nl-NL"/>
        </w:rPr>
        <w:t>15</w:t>
      </w:r>
      <w:r w:rsidR="003F4A18" w:rsidRPr="008A3CFB">
        <w:rPr>
          <w:lang w:val="nl-NL"/>
        </w:rPr>
        <w:t xml:space="preserve"> NCS bảo vệ thành công LATS, hàng trăm học viên bảo vệ thành công luận văn thạc sĩ.</w:t>
      </w:r>
    </w:p>
  </w:footnote>
  <w:footnote w:id="5">
    <w:p w14:paraId="1853850A" w14:textId="33A6A6CA" w:rsidR="003F4A18" w:rsidRPr="003F51E1" w:rsidRDefault="003F4A18" w:rsidP="003F4A18">
      <w:pPr>
        <w:pStyle w:val="FootnoteText"/>
        <w:jc w:val="both"/>
        <w:rPr>
          <w:lang w:val="nl-NL"/>
        </w:rPr>
      </w:pPr>
      <w:r w:rsidRPr="008A3CFB">
        <w:rPr>
          <w:rStyle w:val="FootnoteReference"/>
        </w:rPr>
        <w:footnoteRef/>
      </w:r>
      <w:r w:rsidRPr="008A3CFB">
        <w:rPr>
          <w:lang w:val="nl-NL"/>
        </w:rPr>
        <w:t xml:space="preserve"> Năm 202</w:t>
      </w:r>
      <w:r w:rsidR="0072479B" w:rsidRPr="008A3CFB">
        <w:rPr>
          <w:lang w:val="nl-NL"/>
        </w:rPr>
        <w:t>3</w:t>
      </w:r>
      <w:r w:rsidRPr="008A3CFB">
        <w:rPr>
          <w:lang w:val="nl-NL"/>
        </w:rPr>
        <w:t xml:space="preserve"> thực hiện </w:t>
      </w:r>
      <w:r w:rsidRPr="00921011">
        <w:rPr>
          <w:lang w:val="nl-NL"/>
        </w:rPr>
        <w:t>30</w:t>
      </w:r>
      <w:r w:rsidRPr="008A3CFB">
        <w:rPr>
          <w:lang w:val="nl-NL"/>
        </w:rPr>
        <w:t xml:space="preserve"> đề tài NCKH các cấp, trong đó có </w:t>
      </w:r>
      <w:r w:rsidRPr="00921011">
        <w:rPr>
          <w:lang w:val="nl-NL"/>
        </w:rPr>
        <w:t>16</w:t>
      </w:r>
      <w:r w:rsidRPr="008A3CFB">
        <w:rPr>
          <w:lang w:val="nl-NL"/>
        </w:rPr>
        <w:t xml:space="preserve"> đề tài cấp Bộ và Nafosted, </w:t>
      </w:r>
      <w:r w:rsidRPr="00921011">
        <w:rPr>
          <w:lang w:val="nl-NL"/>
        </w:rPr>
        <w:t>14</w:t>
      </w:r>
      <w:r w:rsidRPr="008A3CFB">
        <w:rPr>
          <w:lang w:val="nl-NL"/>
        </w:rPr>
        <w:t xml:space="preserve"> đề tài NCKH cấp trường, công bố </w:t>
      </w:r>
      <w:r w:rsidR="000704DB" w:rsidRPr="008A3CFB">
        <w:rPr>
          <w:lang w:val="nl-NL"/>
        </w:rPr>
        <w:t>360</w:t>
      </w:r>
      <w:r w:rsidRPr="008A3CFB">
        <w:rPr>
          <w:lang w:val="nl-NL"/>
        </w:rPr>
        <w:t xml:space="preserve"> bài báo khoa học trong đó có </w:t>
      </w:r>
      <w:r w:rsidR="000704DB" w:rsidRPr="008A3CFB">
        <w:rPr>
          <w:lang w:val="nl-NL"/>
        </w:rPr>
        <w:t>124</w:t>
      </w:r>
      <w:r w:rsidRPr="008A3CFB">
        <w:rPr>
          <w:lang w:val="nl-NL"/>
        </w:rPr>
        <w:t xml:space="preserve"> bài</w:t>
      </w:r>
      <w:r w:rsidR="00C35EFB" w:rsidRPr="008A3CFB">
        <w:rPr>
          <w:lang w:val="nl-NL"/>
        </w:rPr>
        <w:t xml:space="preserve"> </w:t>
      </w:r>
      <w:r w:rsidR="00EB2547" w:rsidRPr="008A3CFB">
        <w:rPr>
          <w:lang w:val="nl-NL"/>
        </w:rPr>
        <w:t>bá</w:t>
      </w:r>
      <w:r w:rsidR="00BC0D3B" w:rsidRPr="008A3CFB">
        <w:rPr>
          <w:lang w:val="nl-NL"/>
        </w:rPr>
        <w:t>o</w:t>
      </w:r>
      <w:r w:rsidRPr="008A3CFB">
        <w:rPr>
          <w:lang w:val="nl-NL"/>
        </w:rPr>
        <w:t xml:space="preserve"> thuộc danh mục WOS/Scopus, 1</w:t>
      </w:r>
      <w:r w:rsidR="00281EFF" w:rsidRPr="008A3CFB">
        <w:rPr>
          <w:lang w:val="nl-NL"/>
        </w:rPr>
        <w:t>2</w:t>
      </w:r>
      <w:r w:rsidRPr="008A3CFB">
        <w:rPr>
          <w:lang w:val="nl-NL"/>
        </w:rPr>
        <w:t xml:space="preserve"> giải</w:t>
      </w:r>
      <w:r w:rsidRPr="008A3CFB">
        <w:rPr>
          <w:sz w:val="22"/>
          <w:szCs w:val="22"/>
          <w:lang w:val="nl-NL"/>
        </w:rPr>
        <w:t xml:space="preserve"> </w:t>
      </w:r>
      <w:r w:rsidRPr="008A3CFB">
        <w:rPr>
          <w:lang w:val="nl-NL"/>
        </w:rPr>
        <w:t>thưởng SV NCKH</w:t>
      </w:r>
      <w:r w:rsidRPr="008A3CFB">
        <w:rPr>
          <w:sz w:val="22"/>
          <w:szCs w:val="22"/>
          <w:lang w:val="nl-NL"/>
        </w:rPr>
        <w:t xml:space="preserve"> </w:t>
      </w:r>
      <w:r w:rsidRPr="008A3CFB">
        <w:rPr>
          <w:lang w:val="nl-NL"/>
        </w:rPr>
        <w:t>cấp</w:t>
      </w:r>
      <w:r w:rsidRPr="003F51E1">
        <w:rPr>
          <w:lang w:val="nl-NL"/>
        </w:rPr>
        <w:t xml:space="preserve"> Trường, </w:t>
      </w:r>
      <w:r w:rsidR="006C72FD" w:rsidRPr="003F51E1">
        <w:rPr>
          <w:bCs/>
          <w:iCs/>
          <w:lang w:val="nl-NL"/>
        </w:rPr>
        <w:t>10 sinh viên đạt giải Olympic Toán học và Hoá học toàn quốc</w:t>
      </w:r>
      <w:r w:rsidR="006C72FD" w:rsidRPr="003F51E1">
        <w:rPr>
          <w:lang w:val="nl-NL"/>
        </w:rPr>
        <w:t xml:space="preserve">, </w:t>
      </w:r>
      <w:r w:rsidRPr="003F51E1">
        <w:rPr>
          <w:lang w:val="nl-NL"/>
        </w:rPr>
        <w:t xml:space="preserve">thực hiện </w:t>
      </w:r>
      <w:r w:rsidRPr="003F51E1">
        <w:rPr>
          <w:highlight w:val="yellow"/>
          <w:lang w:val="nl-NL"/>
        </w:rPr>
        <w:t>62</w:t>
      </w:r>
      <w:r w:rsidRPr="003F51E1">
        <w:rPr>
          <w:lang w:val="nl-NL"/>
        </w:rPr>
        <w:t xml:space="preserve"> seminar học thuật; xuất bản được </w:t>
      </w:r>
      <w:r w:rsidRPr="003F51E1">
        <w:rPr>
          <w:highlight w:val="yellow"/>
          <w:lang w:val="nl-NL"/>
        </w:rPr>
        <w:t>31</w:t>
      </w:r>
      <w:r w:rsidRPr="003F51E1">
        <w:rPr>
          <w:lang w:val="nl-NL"/>
        </w:rPr>
        <w:t xml:space="preserve"> giáo trình.</w:t>
      </w:r>
    </w:p>
  </w:footnote>
  <w:footnote w:id="6">
    <w:p w14:paraId="572381B6" w14:textId="4769308C" w:rsidR="003F4A18" w:rsidRPr="003F51E1" w:rsidRDefault="003F4A18" w:rsidP="003F4A18">
      <w:pPr>
        <w:pStyle w:val="FootnoteText"/>
        <w:spacing w:before="60"/>
        <w:jc w:val="both"/>
        <w:rPr>
          <w:lang w:val="nl-NL"/>
        </w:rPr>
      </w:pPr>
      <w:r w:rsidRPr="003F51E1">
        <w:rPr>
          <w:rStyle w:val="FootnoteReference"/>
        </w:rPr>
        <w:footnoteRef/>
      </w:r>
      <w:r w:rsidRPr="003F51E1">
        <w:rPr>
          <w:lang w:val="nl-NL"/>
        </w:rPr>
        <w:t xml:space="preserve"> Cơ cấu tổ chức, bộ máy của Trường Sư phạm bao gồm: 12 khoa, 01 Trung tâm Bồi dưỡng NVSP, 01 Tổ Hành chính. Đội ngũ cán bộ, giảng viên: 17</w:t>
      </w:r>
      <w:r w:rsidR="00AC7137" w:rsidRPr="003F51E1">
        <w:rPr>
          <w:lang w:val="nl-NL"/>
        </w:rPr>
        <w:t>6</w:t>
      </w:r>
      <w:r w:rsidRPr="003F51E1">
        <w:rPr>
          <w:lang w:val="nl-NL"/>
        </w:rPr>
        <w:t xml:space="preserve"> người. Số giảng viên: 163 người, trong đó có 11</w:t>
      </w:r>
      <w:r w:rsidR="00E02889" w:rsidRPr="003F51E1">
        <w:rPr>
          <w:lang w:val="nl-NL"/>
        </w:rPr>
        <w:t>8</w:t>
      </w:r>
      <w:r w:rsidRPr="003F51E1">
        <w:rPr>
          <w:lang w:val="nl-NL"/>
        </w:rPr>
        <w:t xml:space="preserve"> người (chiếm </w:t>
      </w:r>
      <w:r w:rsidR="00E02889" w:rsidRPr="003F51E1">
        <w:rPr>
          <w:lang w:val="nl-NL"/>
        </w:rPr>
        <w:t>72.39</w:t>
      </w:r>
      <w:r w:rsidRPr="003F51E1">
        <w:rPr>
          <w:lang w:val="nl-NL"/>
        </w:rPr>
        <w:t xml:space="preserve">%) có trình độ TS trở lên, có </w:t>
      </w:r>
      <w:r w:rsidR="00E02889" w:rsidRPr="003F51E1">
        <w:rPr>
          <w:lang w:val="nl-NL"/>
        </w:rPr>
        <w:t>27</w:t>
      </w:r>
      <w:r w:rsidRPr="003F51E1">
        <w:rPr>
          <w:lang w:val="nl-NL"/>
        </w:rPr>
        <w:t xml:space="preserve"> người (chiếm </w:t>
      </w:r>
      <w:r w:rsidR="00E02889" w:rsidRPr="003F51E1">
        <w:rPr>
          <w:lang w:val="nl-NL"/>
        </w:rPr>
        <w:t>16.56</w:t>
      </w:r>
      <w:r w:rsidRPr="003F51E1">
        <w:rPr>
          <w:lang w:val="nl-NL"/>
        </w:rPr>
        <w:t>%) có trình độ GS, PGS. Đảng bộ bộ phận</w:t>
      </w:r>
      <w:r w:rsidRPr="007A0AF3">
        <w:rPr>
          <w:sz w:val="22"/>
          <w:szCs w:val="22"/>
          <w:lang w:val="nl-NL"/>
        </w:rPr>
        <w:t xml:space="preserve"> có 16 chi bộ, </w:t>
      </w:r>
      <w:r w:rsidR="00D53F55">
        <w:rPr>
          <w:sz w:val="22"/>
          <w:szCs w:val="22"/>
          <w:lang w:val="nl-NL"/>
        </w:rPr>
        <w:t>46</w:t>
      </w:r>
      <w:r w:rsidR="00BA776F">
        <w:rPr>
          <w:sz w:val="22"/>
          <w:szCs w:val="22"/>
          <w:lang w:val="nl-NL"/>
        </w:rPr>
        <w:t>7</w:t>
      </w:r>
      <w:r w:rsidRPr="007A0AF3">
        <w:rPr>
          <w:sz w:val="22"/>
          <w:szCs w:val="22"/>
          <w:lang w:val="nl-NL"/>
        </w:rPr>
        <w:t xml:space="preserve"> đảng viên (trong </w:t>
      </w:r>
      <w:r w:rsidRPr="003F51E1">
        <w:rPr>
          <w:lang w:val="nl-NL"/>
        </w:rPr>
        <w:t>đó ĐV là cán bộ: 14</w:t>
      </w:r>
      <w:r w:rsidR="00C472E4" w:rsidRPr="003F51E1">
        <w:rPr>
          <w:lang w:val="nl-NL"/>
        </w:rPr>
        <w:t>9</w:t>
      </w:r>
      <w:r w:rsidRPr="003F51E1">
        <w:rPr>
          <w:lang w:val="nl-NL"/>
        </w:rPr>
        <w:t xml:space="preserve"> đồng chí; HV, SV: </w:t>
      </w:r>
      <w:r w:rsidR="00C472E4" w:rsidRPr="003F51E1">
        <w:rPr>
          <w:lang w:val="nl-NL"/>
        </w:rPr>
        <w:t>3</w:t>
      </w:r>
      <w:r w:rsidR="00A553A2" w:rsidRPr="003F51E1">
        <w:rPr>
          <w:lang w:val="nl-NL"/>
        </w:rPr>
        <w:t>18</w:t>
      </w:r>
      <w:r w:rsidRPr="003F51E1">
        <w:rPr>
          <w:lang w:val="nl-NL"/>
        </w:rPr>
        <w:t xml:space="preserve"> đồng chí). Công đoàn cơ sở thành viên có 13 CĐ bộ phận, 17</w:t>
      </w:r>
      <w:r w:rsidR="00AC7084" w:rsidRPr="003F51E1">
        <w:rPr>
          <w:lang w:val="nl-NL"/>
        </w:rPr>
        <w:t>6</w:t>
      </w:r>
      <w:r w:rsidRPr="003F51E1">
        <w:rPr>
          <w:lang w:val="nl-NL"/>
        </w:rPr>
        <w:t xml:space="preserve"> đoàn viên.</w:t>
      </w:r>
    </w:p>
  </w:footnote>
  <w:footnote w:id="7">
    <w:p w14:paraId="0833FBFC" w14:textId="23EF3AED" w:rsidR="003F4A18" w:rsidRPr="003F51E1" w:rsidRDefault="003F4A18" w:rsidP="003F4A18">
      <w:pPr>
        <w:pStyle w:val="FootnoteText"/>
        <w:jc w:val="both"/>
      </w:pPr>
      <w:r w:rsidRPr="003F51E1">
        <w:rPr>
          <w:rStyle w:val="FootnoteReference"/>
        </w:rPr>
        <w:footnoteRef/>
      </w:r>
      <w:r w:rsidRPr="003F51E1">
        <w:t xml:space="preserve"> Đạt tiêu chuẩn AUN-QA: </w:t>
      </w:r>
      <w:r w:rsidRPr="003F51E1">
        <w:rPr>
          <w:lang w:val="vi-VN"/>
        </w:rPr>
        <w:t>Sư phạm Toán</w:t>
      </w:r>
      <w:r w:rsidRPr="003F51E1">
        <w:t xml:space="preserve">; Đạt tiêu chuẩn quốc gia: </w:t>
      </w:r>
      <w:r w:rsidRPr="003F51E1">
        <w:rPr>
          <w:lang w:val="vi-VN"/>
        </w:rPr>
        <w:t>SP Hoá, GDMN, GDTH</w:t>
      </w:r>
      <w:r w:rsidRPr="003F51E1">
        <w:t>, SP Ngữ Văn, SP Địa lý, SP Lịch sử</w:t>
      </w:r>
      <w:r w:rsidR="00C06E72" w:rsidRPr="003F51E1">
        <w:t xml:space="preserve">, </w:t>
      </w:r>
      <w:r w:rsidR="00014420" w:rsidRPr="003F51E1">
        <w:t>Quản lý giáo dục</w:t>
      </w:r>
      <w:r w:rsidRPr="003F51E1">
        <w:t>;</w:t>
      </w:r>
    </w:p>
    <w:p w14:paraId="2BB457E3" w14:textId="77777777" w:rsidR="00D34610" w:rsidRPr="003F51E1" w:rsidRDefault="00D34610" w:rsidP="003F4A18">
      <w:pPr>
        <w:pStyle w:val="FootnoteText"/>
        <w:jc w:val="both"/>
      </w:pPr>
    </w:p>
  </w:footnote>
  <w:footnote w:id="8">
    <w:p w14:paraId="4D56B65B" w14:textId="27196C1C" w:rsidR="003F4A18" w:rsidRPr="003B0464" w:rsidRDefault="003F4A18" w:rsidP="003F4A18">
      <w:pPr>
        <w:pStyle w:val="FootnoteText"/>
        <w:jc w:val="both"/>
        <w:rPr>
          <w:color w:val="000000"/>
          <w:lang w:val="vi-VN"/>
        </w:rPr>
      </w:pPr>
      <w:r w:rsidRPr="003B0464">
        <w:rPr>
          <w:rStyle w:val="FootnoteReference"/>
        </w:rPr>
        <w:footnoteRef/>
      </w:r>
      <w:r w:rsidRPr="003B0464">
        <w:rPr>
          <w:lang w:val="vi-VN"/>
        </w:rPr>
        <w:t xml:space="preserve"> </w:t>
      </w:r>
      <w:r w:rsidRPr="003B0464">
        <w:rPr>
          <w:color w:val="000000"/>
          <w:lang w:val="vi-VN"/>
        </w:rPr>
        <w:t xml:space="preserve">Hiện nay </w:t>
      </w:r>
      <w:r w:rsidRPr="003B0464">
        <w:rPr>
          <w:color w:val="000000"/>
          <w:lang w:val="nl-NL"/>
        </w:rPr>
        <w:t xml:space="preserve">các đơn vị đang </w:t>
      </w:r>
      <w:r w:rsidRPr="003B0464">
        <w:rPr>
          <w:color w:val="000000"/>
          <w:lang w:val="vi-VN"/>
        </w:rPr>
        <w:t>phân công</w:t>
      </w:r>
      <w:r w:rsidRPr="003B0464">
        <w:rPr>
          <w:color w:val="000000"/>
          <w:lang w:val="nl-NL"/>
        </w:rPr>
        <w:t xml:space="preserve"> </w:t>
      </w:r>
      <w:r w:rsidRPr="003B0464">
        <w:rPr>
          <w:color w:val="000000"/>
          <w:lang w:val="vi-VN"/>
        </w:rPr>
        <w:t>giảng viên trẻ đảm nhận công tác giáo viên chủ nhiệm ở</w:t>
      </w:r>
      <w:r w:rsidRPr="003B0464">
        <w:rPr>
          <w:color w:val="000000"/>
          <w:lang w:val="nl-NL"/>
        </w:rPr>
        <w:t xml:space="preserve"> </w:t>
      </w:r>
      <w:r w:rsidR="00E22033" w:rsidRPr="003B0464">
        <w:rPr>
          <w:color w:val="000000"/>
          <w:lang w:val="nl-NL"/>
        </w:rPr>
        <w:t>104</w:t>
      </w:r>
      <w:r w:rsidRPr="003B0464">
        <w:rPr>
          <w:color w:val="000000"/>
          <w:lang w:val="nl-NL"/>
        </w:rPr>
        <w:t xml:space="preserve"> </w:t>
      </w:r>
      <w:r w:rsidRPr="003B0464">
        <w:rPr>
          <w:color w:val="000000"/>
          <w:lang w:val="vi-VN"/>
        </w:rPr>
        <w:t>lớp sinh viên hệ chính quy tập trung tại trường.</w:t>
      </w:r>
    </w:p>
  </w:footnote>
  <w:footnote w:id="9">
    <w:p w14:paraId="129EA9A9" w14:textId="7BDF71DE" w:rsidR="003F4A18" w:rsidRPr="003B0464" w:rsidRDefault="003F4A18" w:rsidP="003F4A18">
      <w:pPr>
        <w:spacing w:before="60" w:after="60" w:line="26" w:lineRule="atLeast"/>
        <w:jc w:val="both"/>
        <w:rPr>
          <w:sz w:val="20"/>
          <w:szCs w:val="20"/>
          <w:lang w:val="sv-SE"/>
        </w:rPr>
      </w:pPr>
      <w:r w:rsidRPr="003B0464">
        <w:rPr>
          <w:rStyle w:val="FootnoteReference"/>
          <w:sz w:val="20"/>
          <w:szCs w:val="20"/>
        </w:rPr>
        <w:footnoteRef/>
      </w:r>
      <w:r w:rsidR="00FF7AB1" w:rsidRPr="003B0464">
        <w:rPr>
          <w:sz w:val="20"/>
          <w:szCs w:val="20"/>
        </w:rPr>
        <w:t>T</w:t>
      </w:r>
      <w:r w:rsidRPr="003B0464">
        <w:rPr>
          <w:sz w:val="20"/>
          <w:szCs w:val="20"/>
          <w:lang w:val="sv-SE"/>
        </w:rPr>
        <w:t xml:space="preserve">tổ chức Chương trình </w:t>
      </w:r>
      <w:r w:rsidR="00FF7AB1" w:rsidRPr="003B0464">
        <w:rPr>
          <w:sz w:val="20"/>
          <w:szCs w:val="20"/>
          <w:lang w:val="sv-SE"/>
        </w:rPr>
        <w:t xml:space="preserve">về nguồn, Tham gia giải thể thao Trường </w:t>
      </w:r>
      <w:r w:rsidR="006B0AE9" w:rsidRPr="003B0464">
        <w:rPr>
          <w:sz w:val="20"/>
          <w:szCs w:val="20"/>
          <w:lang w:val="sv-SE"/>
        </w:rPr>
        <w:t>Đ</w:t>
      </w:r>
      <w:r w:rsidR="00FF7AB1" w:rsidRPr="003B0464">
        <w:rPr>
          <w:sz w:val="20"/>
          <w:szCs w:val="20"/>
          <w:lang w:val="sv-SE"/>
        </w:rPr>
        <w:t>ại học Vinh để chào mừng Đại hội công đoàn trường Đại học Vinh lần thứ</w:t>
      </w:r>
      <w:r w:rsidR="00AE638B" w:rsidRPr="003B0464">
        <w:rPr>
          <w:sz w:val="20"/>
          <w:szCs w:val="20"/>
          <w:lang w:val="sv-SE"/>
        </w:rPr>
        <w:t xml:space="preserve"> 34</w:t>
      </w:r>
      <w:r w:rsidR="006B0AE9" w:rsidRPr="003B0464">
        <w:rPr>
          <w:sz w:val="20"/>
          <w:szCs w:val="20"/>
          <w:lang w:val="sv-SE"/>
        </w:rPr>
        <w:t xml:space="preserve"> Tham gia Hội diễn văn nghệ ” Giai điệu mùa thu” để hướng tới chào mừng ngày 20/10 và kỷ </w:t>
      </w:r>
      <w:r w:rsidRPr="003B0464">
        <w:rPr>
          <w:sz w:val="20"/>
          <w:szCs w:val="20"/>
          <w:lang w:val="sv-SE"/>
        </w:rPr>
        <w:t xml:space="preserve"> niệm 4</w:t>
      </w:r>
      <w:r w:rsidR="006B0AE9" w:rsidRPr="003B0464">
        <w:rPr>
          <w:sz w:val="20"/>
          <w:szCs w:val="20"/>
          <w:lang w:val="sv-SE"/>
        </w:rPr>
        <w:t>1</w:t>
      </w:r>
      <w:r w:rsidRPr="003B0464">
        <w:rPr>
          <w:sz w:val="20"/>
          <w:szCs w:val="20"/>
          <w:lang w:val="sv-SE"/>
        </w:rPr>
        <w:t xml:space="preserve"> năm ngày NGVN</w:t>
      </w:r>
      <w:r w:rsidR="006B0AE9" w:rsidRPr="003B0464">
        <w:rPr>
          <w:sz w:val="20"/>
          <w:szCs w:val="20"/>
          <w:lang w:val="sv-SE"/>
        </w:rPr>
        <w:t>;</w:t>
      </w:r>
    </w:p>
  </w:footnote>
  <w:footnote w:id="10">
    <w:p w14:paraId="6BDF81BF" w14:textId="749AA78C" w:rsidR="003F4A18" w:rsidRPr="003B0464" w:rsidRDefault="003F4A18" w:rsidP="003F4A18">
      <w:pPr>
        <w:pStyle w:val="NormalWeb"/>
        <w:shd w:val="clear" w:color="auto" w:fill="FFFFFF"/>
        <w:spacing w:before="120" w:beforeAutospacing="0" w:after="120" w:afterAutospacing="0"/>
        <w:jc w:val="both"/>
        <w:rPr>
          <w:sz w:val="20"/>
          <w:szCs w:val="20"/>
        </w:rPr>
      </w:pPr>
      <w:r w:rsidRPr="003B0464">
        <w:rPr>
          <w:rStyle w:val="FootnoteReference"/>
          <w:sz w:val="20"/>
          <w:szCs w:val="20"/>
        </w:rPr>
        <w:footnoteRef/>
      </w:r>
      <w:r w:rsidRPr="003B0464">
        <w:rPr>
          <w:sz w:val="20"/>
          <w:szCs w:val="20"/>
        </w:rPr>
        <w:t xml:space="preserve"> Đã tổ chức nhiều các hoạt động: Chương trình Gặp mặt tân sinh viên khóa 6</w:t>
      </w:r>
      <w:r w:rsidR="00A2240A" w:rsidRPr="003B0464">
        <w:rPr>
          <w:sz w:val="20"/>
          <w:szCs w:val="20"/>
        </w:rPr>
        <w:t>4</w:t>
      </w:r>
      <w:r w:rsidRPr="003B0464">
        <w:rPr>
          <w:sz w:val="20"/>
          <w:szCs w:val="20"/>
        </w:rPr>
        <w:t>, hỗ trợ đón tiếp sinh viên khóa mới nhập học; Thực hiện video Truyền thông Quảng bá tuyển sinh năm 202</w:t>
      </w:r>
      <w:r w:rsidR="00A2240A" w:rsidRPr="003B0464">
        <w:rPr>
          <w:sz w:val="20"/>
          <w:szCs w:val="20"/>
        </w:rPr>
        <w:t>3</w:t>
      </w:r>
      <w:r w:rsidRPr="003B0464">
        <w:rPr>
          <w:sz w:val="20"/>
          <w:szCs w:val="20"/>
        </w:rPr>
        <w:t xml:space="preserve"> Trường Sư phạm; Chương trình chia tay sinh viên khóa </w:t>
      </w:r>
      <w:r w:rsidR="00A2240A" w:rsidRPr="003B0464">
        <w:rPr>
          <w:sz w:val="20"/>
          <w:szCs w:val="20"/>
        </w:rPr>
        <w:t>60</w:t>
      </w:r>
      <w:r w:rsidRPr="003B0464">
        <w:rPr>
          <w:sz w:val="20"/>
          <w:szCs w:val="20"/>
        </w:rPr>
        <w:t xml:space="preserve">  “</w:t>
      </w:r>
      <w:r w:rsidR="007C6E70" w:rsidRPr="003B0464">
        <w:rPr>
          <w:sz w:val="20"/>
          <w:szCs w:val="20"/>
        </w:rPr>
        <w:t>Thanh âm mùa hạ</w:t>
      </w:r>
      <w:r w:rsidRPr="003B0464">
        <w:rPr>
          <w:sz w:val="20"/>
          <w:szCs w:val="20"/>
        </w:rPr>
        <w:t>”; Chiến dịch Tình nguyện hè năm 202</w:t>
      </w:r>
      <w:r w:rsidR="007C6E70" w:rsidRPr="003B0464">
        <w:rPr>
          <w:sz w:val="20"/>
          <w:szCs w:val="20"/>
        </w:rPr>
        <w:t>3</w:t>
      </w:r>
      <w:r w:rsidRPr="003B0464">
        <w:rPr>
          <w:sz w:val="20"/>
          <w:szCs w:val="20"/>
        </w:rPr>
        <w:t xml:space="preserve"> </w:t>
      </w:r>
      <w:r w:rsidR="007C6E70" w:rsidRPr="003B0464">
        <w:rPr>
          <w:sz w:val="20"/>
          <w:szCs w:val="20"/>
        </w:rPr>
        <w:t>-</w:t>
      </w:r>
      <w:r w:rsidRPr="003B0464">
        <w:rPr>
          <w:sz w:val="20"/>
          <w:szCs w:val="20"/>
        </w:rPr>
        <w:t xml:space="preserve"> tham gia hỗ trợ giúp đỡ, dạy học cho trẻ em tại huyện Quỳ Hợp, tỉnh Nghệ An</w:t>
      </w:r>
      <w:r w:rsidR="007A7CE4" w:rsidRPr="003B0464">
        <w:rPr>
          <w:sz w:val="20"/>
          <w:szCs w:val="20"/>
        </w:rPr>
        <w:t xml:space="preserve"> và tại làng trẻ SOS thành phố Vinh</w:t>
      </w:r>
      <w:r w:rsidRPr="003B0464">
        <w:rPr>
          <w:sz w:val="20"/>
          <w:szCs w:val="20"/>
        </w:rPr>
        <w:t xml:space="preserve">; </w:t>
      </w:r>
      <w:r w:rsidR="007A7CE4" w:rsidRPr="003B0464">
        <w:rPr>
          <w:sz w:val="20"/>
          <w:szCs w:val="20"/>
        </w:rPr>
        <w:t>Đoàn trường đã tổ chức các chuỗi các hoạt động Kỉ niệm 92 năm thành lập Đoàn TNCS Hồ Chí Minh như: Giải bóng đá nam sinh viên Trường Sư phạm 2023, Cuộc thi “Nam sinh vào bếp”, Ngày hội Sinh viên Khoẻ, Hội thao Quốc phòng An ninh, Tuần lễ áo dài, Cuộc thi “Thể thao trí tuệ”, Cuộc thi viết chữ đẹp “Luyện nét chữ - Rèn nết người”, Cuộc thi “Tìm hiểu về Đoàn TNCS Hồ Chí Minh”, Podcast “Những điều hạnh phúc”, Cuộc thi “Mảnh ghép hoàn hảo”, Flashmob “Chào mừng Tháng Thanh niên, Dâng hoa tại Quảng trường Hồ Chí Minh;</w:t>
      </w:r>
      <w:r w:rsidRPr="003B0464">
        <w:rPr>
          <w:sz w:val="20"/>
          <w:szCs w:val="20"/>
        </w:rPr>
        <w:t xml:space="preserve"> </w:t>
      </w:r>
      <w:r w:rsidR="002C1A53" w:rsidRPr="003B0464">
        <w:rPr>
          <w:sz w:val="20"/>
          <w:szCs w:val="20"/>
        </w:rPr>
        <w:t>tổ chức buổi giao lưu giữa Thầy và Trò trường Sư phạm</w:t>
      </w:r>
      <w:r w:rsidRPr="003B0464">
        <w:rPr>
          <w:sz w:val="20"/>
          <w:szCs w:val="20"/>
        </w:rPr>
        <w:t xml:space="preserve"> chào mừng kỷ niệm 4</w:t>
      </w:r>
      <w:r w:rsidR="002C1A53" w:rsidRPr="003B0464">
        <w:rPr>
          <w:sz w:val="20"/>
          <w:szCs w:val="20"/>
        </w:rPr>
        <w:t>1</w:t>
      </w:r>
      <w:r w:rsidRPr="003B0464">
        <w:rPr>
          <w:sz w:val="20"/>
          <w:szCs w:val="20"/>
        </w:rPr>
        <w:t xml:space="preserve"> năm ngày 20/11</w:t>
      </w:r>
      <w:r w:rsidR="002C1A53" w:rsidRPr="003B0464">
        <w:rPr>
          <w:sz w:val="20"/>
          <w:szCs w:val="20"/>
        </w:rPr>
        <w:t xml:space="preserve"> với chủ đề “Người gieo mầm xanh”</w:t>
      </w:r>
      <w:r w:rsidRPr="003B0464">
        <w:rPr>
          <w:sz w:val="20"/>
          <w:szCs w:val="20"/>
        </w:rPr>
        <w:t>..</w:t>
      </w:r>
    </w:p>
    <w:p w14:paraId="788175EB" w14:textId="77777777" w:rsidR="003F4A18" w:rsidRPr="001B7644" w:rsidRDefault="003F4A18" w:rsidP="003F4A18">
      <w:pPr>
        <w:pStyle w:val="FootnoteText"/>
        <w:jc w:val="both"/>
        <w:rPr>
          <w:sz w:val="22"/>
          <w:szCs w:val="2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F613C"/>
    <w:multiLevelType w:val="hybridMultilevel"/>
    <w:tmpl w:val="2AE2839A"/>
    <w:lvl w:ilvl="0" w:tplc="C63C7984">
      <w:start w:val="1"/>
      <w:numFmt w:val="bullet"/>
      <w:lvlText w:val="-"/>
      <w:lvlJc w:val="left"/>
      <w:pPr>
        <w:ind w:left="663" w:hanging="360"/>
      </w:pPr>
      <w:rPr>
        <w:rFonts w:ascii="Walbaum" w:hAnsi="Walbaum"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1" w15:restartNumberingAfterBreak="0">
    <w:nsid w:val="02D37527"/>
    <w:multiLevelType w:val="hybridMultilevel"/>
    <w:tmpl w:val="5FA8098E"/>
    <w:lvl w:ilvl="0" w:tplc="C63C7984">
      <w:start w:val="1"/>
      <w:numFmt w:val="bullet"/>
      <w:lvlText w:val="-"/>
      <w:lvlJc w:val="left"/>
      <w:pPr>
        <w:ind w:left="663" w:hanging="360"/>
      </w:pPr>
      <w:rPr>
        <w:rFonts w:ascii="Walbaum" w:hAnsi="Walbaum"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2" w15:restartNumberingAfterBreak="0">
    <w:nsid w:val="04BF4460"/>
    <w:multiLevelType w:val="hybridMultilevel"/>
    <w:tmpl w:val="87ECC9F8"/>
    <w:lvl w:ilvl="0" w:tplc="C63C7984">
      <w:start w:val="1"/>
      <w:numFmt w:val="bullet"/>
      <w:lvlText w:val="-"/>
      <w:lvlJc w:val="left"/>
      <w:pPr>
        <w:ind w:left="663" w:hanging="360"/>
      </w:pPr>
      <w:rPr>
        <w:rFonts w:ascii="Walbaum" w:hAnsi="Walbaum" w:hint="default"/>
      </w:rPr>
    </w:lvl>
    <w:lvl w:ilvl="1" w:tplc="FFFFFFFF" w:tentative="1">
      <w:start w:val="1"/>
      <w:numFmt w:val="bullet"/>
      <w:lvlText w:val="o"/>
      <w:lvlJc w:val="left"/>
      <w:pPr>
        <w:ind w:left="1383" w:hanging="360"/>
      </w:pPr>
      <w:rPr>
        <w:rFonts w:ascii="Courier New" w:hAnsi="Courier New" w:cs="Courier New" w:hint="default"/>
      </w:rPr>
    </w:lvl>
    <w:lvl w:ilvl="2" w:tplc="FFFFFFFF" w:tentative="1">
      <w:start w:val="1"/>
      <w:numFmt w:val="bullet"/>
      <w:lvlText w:val=""/>
      <w:lvlJc w:val="left"/>
      <w:pPr>
        <w:ind w:left="2103" w:hanging="360"/>
      </w:pPr>
      <w:rPr>
        <w:rFonts w:ascii="Wingdings" w:hAnsi="Wingdings" w:hint="default"/>
      </w:rPr>
    </w:lvl>
    <w:lvl w:ilvl="3" w:tplc="FFFFFFFF" w:tentative="1">
      <w:start w:val="1"/>
      <w:numFmt w:val="bullet"/>
      <w:lvlText w:val=""/>
      <w:lvlJc w:val="left"/>
      <w:pPr>
        <w:ind w:left="2823" w:hanging="360"/>
      </w:pPr>
      <w:rPr>
        <w:rFonts w:ascii="Symbol" w:hAnsi="Symbol" w:hint="default"/>
      </w:rPr>
    </w:lvl>
    <w:lvl w:ilvl="4" w:tplc="FFFFFFFF" w:tentative="1">
      <w:start w:val="1"/>
      <w:numFmt w:val="bullet"/>
      <w:lvlText w:val="o"/>
      <w:lvlJc w:val="left"/>
      <w:pPr>
        <w:ind w:left="3543" w:hanging="360"/>
      </w:pPr>
      <w:rPr>
        <w:rFonts w:ascii="Courier New" w:hAnsi="Courier New" w:cs="Courier New" w:hint="default"/>
      </w:rPr>
    </w:lvl>
    <w:lvl w:ilvl="5" w:tplc="FFFFFFFF" w:tentative="1">
      <w:start w:val="1"/>
      <w:numFmt w:val="bullet"/>
      <w:lvlText w:val=""/>
      <w:lvlJc w:val="left"/>
      <w:pPr>
        <w:ind w:left="4263" w:hanging="360"/>
      </w:pPr>
      <w:rPr>
        <w:rFonts w:ascii="Wingdings" w:hAnsi="Wingdings" w:hint="default"/>
      </w:rPr>
    </w:lvl>
    <w:lvl w:ilvl="6" w:tplc="FFFFFFFF" w:tentative="1">
      <w:start w:val="1"/>
      <w:numFmt w:val="bullet"/>
      <w:lvlText w:val=""/>
      <w:lvlJc w:val="left"/>
      <w:pPr>
        <w:ind w:left="4983" w:hanging="360"/>
      </w:pPr>
      <w:rPr>
        <w:rFonts w:ascii="Symbol" w:hAnsi="Symbol" w:hint="default"/>
      </w:rPr>
    </w:lvl>
    <w:lvl w:ilvl="7" w:tplc="FFFFFFFF" w:tentative="1">
      <w:start w:val="1"/>
      <w:numFmt w:val="bullet"/>
      <w:lvlText w:val="o"/>
      <w:lvlJc w:val="left"/>
      <w:pPr>
        <w:ind w:left="5703" w:hanging="360"/>
      </w:pPr>
      <w:rPr>
        <w:rFonts w:ascii="Courier New" w:hAnsi="Courier New" w:cs="Courier New" w:hint="default"/>
      </w:rPr>
    </w:lvl>
    <w:lvl w:ilvl="8" w:tplc="FFFFFFFF" w:tentative="1">
      <w:start w:val="1"/>
      <w:numFmt w:val="bullet"/>
      <w:lvlText w:val=""/>
      <w:lvlJc w:val="left"/>
      <w:pPr>
        <w:ind w:left="6423" w:hanging="360"/>
      </w:pPr>
      <w:rPr>
        <w:rFonts w:ascii="Wingdings" w:hAnsi="Wingdings" w:hint="default"/>
      </w:rPr>
    </w:lvl>
  </w:abstractNum>
  <w:abstractNum w:abstractNumId="3" w15:restartNumberingAfterBreak="0">
    <w:nsid w:val="0CF309AF"/>
    <w:multiLevelType w:val="hybridMultilevel"/>
    <w:tmpl w:val="6BD8C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45380"/>
    <w:multiLevelType w:val="hybridMultilevel"/>
    <w:tmpl w:val="6BD8C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2624DF"/>
    <w:multiLevelType w:val="hybridMultilevel"/>
    <w:tmpl w:val="593CD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F2485"/>
    <w:multiLevelType w:val="hybridMultilevel"/>
    <w:tmpl w:val="53182AE6"/>
    <w:lvl w:ilvl="0" w:tplc="FF08A318">
      <w:start w:val="1"/>
      <w:numFmt w:val="bullet"/>
      <w:lvlText w:val="-"/>
      <w:lvlJc w:val="left"/>
      <w:pPr>
        <w:ind w:left="720" w:hanging="360"/>
      </w:pPr>
      <w:rPr>
        <w:rFonts w:ascii="Times New Roman" w:eastAsia="Times New Roman" w:hAnsi="Times New Roman" w:cs="Times New Roman" w:hint="default"/>
        <w:b/>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5D5DF3"/>
    <w:multiLevelType w:val="hybridMultilevel"/>
    <w:tmpl w:val="E6DE6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E2221E"/>
    <w:multiLevelType w:val="hybridMultilevel"/>
    <w:tmpl w:val="482AE59E"/>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423706D8"/>
    <w:multiLevelType w:val="hybridMultilevel"/>
    <w:tmpl w:val="8FECE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6253BC"/>
    <w:multiLevelType w:val="hybridMultilevel"/>
    <w:tmpl w:val="1DBE4E44"/>
    <w:lvl w:ilvl="0" w:tplc="FF08A318">
      <w:start w:val="1"/>
      <w:numFmt w:val="bullet"/>
      <w:lvlText w:val="-"/>
      <w:lvlJc w:val="left"/>
      <w:pPr>
        <w:ind w:left="1440" w:hanging="360"/>
      </w:pPr>
      <w:rPr>
        <w:rFonts w:ascii="Times New Roman" w:eastAsia="Times New Roman" w:hAnsi="Times New Roman" w:cs="Times New Roman" w:hint="default"/>
        <w:b/>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95C024F"/>
    <w:multiLevelType w:val="hybridMultilevel"/>
    <w:tmpl w:val="21E811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B37922"/>
    <w:multiLevelType w:val="hybridMultilevel"/>
    <w:tmpl w:val="9C90B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363592"/>
    <w:multiLevelType w:val="hybridMultilevel"/>
    <w:tmpl w:val="AD82D9E4"/>
    <w:lvl w:ilvl="0" w:tplc="C63C7984">
      <w:start w:val="1"/>
      <w:numFmt w:val="bullet"/>
      <w:lvlText w:val="-"/>
      <w:lvlJc w:val="left"/>
      <w:pPr>
        <w:ind w:left="663" w:hanging="360"/>
      </w:pPr>
      <w:rPr>
        <w:rFonts w:ascii="Walbaum" w:hAnsi="Walbaum"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14" w15:restartNumberingAfterBreak="0">
    <w:nsid w:val="59794177"/>
    <w:multiLevelType w:val="hybridMultilevel"/>
    <w:tmpl w:val="85C42FE2"/>
    <w:lvl w:ilvl="0" w:tplc="860AC178">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A523D71"/>
    <w:multiLevelType w:val="hybridMultilevel"/>
    <w:tmpl w:val="71728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294702"/>
    <w:multiLevelType w:val="hybridMultilevel"/>
    <w:tmpl w:val="D49CE33A"/>
    <w:lvl w:ilvl="0" w:tplc="C63C7984">
      <w:start w:val="1"/>
      <w:numFmt w:val="bullet"/>
      <w:lvlText w:val="-"/>
      <w:lvlJc w:val="left"/>
      <w:pPr>
        <w:ind w:left="663" w:hanging="360"/>
      </w:pPr>
      <w:rPr>
        <w:rFonts w:ascii="Walbaum" w:hAnsi="Walbaum"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num w:numId="1" w16cid:durableId="2100828988">
    <w:abstractNumId w:val="12"/>
  </w:num>
  <w:num w:numId="2" w16cid:durableId="1624382993">
    <w:abstractNumId w:val="8"/>
  </w:num>
  <w:num w:numId="3" w16cid:durableId="1193150434">
    <w:abstractNumId w:val="9"/>
  </w:num>
  <w:num w:numId="4" w16cid:durableId="1291663955">
    <w:abstractNumId w:val="5"/>
  </w:num>
  <w:num w:numId="5" w16cid:durableId="142739295">
    <w:abstractNumId w:val="14"/>
  </w:num>
  <w:num w:numId="6" w16cid:durableId="18748140">
    <w:abstractNumId w:val="7"/>
  </w:num>
  <w:num w:numId="7" w16cid:durableId="844056633">
    <w:abstractNumId w:val="3"/>
  </w:num>
  <w:num w:numId="8" w16cid:durableId="22945770">
    <w:abstractNumId w:val="11"/>
  </w:num>
  <w:num w:numId="9" w16cid:durableId="1067536052">
    <w:abstractNumId w:val="6"/>
  </w:num>
  <w:num w:numId="10" w16cid:durableId="1081833874">
    <w:abstractNumId w:val="10"/>
  </w:num>
  <w:num w:numId="11" w16cid:durableId="103110604">
    <w:abstractNumId w:val="4"/>
  </w:num>
  <w:num w:numId="12" w16cid:durableId="359553083">
    <w:abstractNumId w:val="1"/>
  </w:num>
  <w:num w:numId="13" w16cid:durableId="1671978249">
    <w:abstractNumId w:val="2"/>
  </w:num>
  <w:num w:numId="14" w16cid:durableId="1524199313">
    <w:abstractNumId w:val="16"/>
  </w:num>
  <w:num w:numId="15" w16cid:durableId="405692347">
    <w:abstractNumId w:val="13"/>
  </w:num>
  <w:num w:numId="16" w16cid:durableId="2004697930">
    <w:abstractNumId w:val="0"/>
  </w:num>
  <w:num w:numId="17" w16cid:durableId="1587340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defaultTabStop w:val="720"/>
  <w:drawingGridHorizontalSpacing w:val="13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ACD"/>
    <w:rsid w:val="000053E1"/>
    <w:rsid w:val="00014420"/>
    <w:rsid w:val="00027486"/>
    <w:rsid w:val="000374CF"/>
    <w:rsid w:val="00044DDC"/>
    <w:rsid w:val="00045437"/>
    <w:rsid w:val="000550E2"/>
    <w:rsid w:val="00056AAB"/>
    <w:rsid w:val="000704DB"/>
    <w:rsid w:val="00072639"/>
    <w:rsid w:val="000754FA"/>
    <w:rsid w:val="00084DDA"/>
    <w:rsid w:val="00086AD5"/>
    <w:rsid w:val="00087967"/>
    <w:rsid w:val="000C1FC3"/>
    <w:rsid w:val="000C490D"/>
    <w:rsid w:val="000C5103"/>
    <w:rsid w:val="000E161A"/>
    <w:rsid w:val="000E2527"/>
    <w:rsid w:val="000F211E"/>
    <w:rsid w:val="000F4DFB"/>
    <w:rsid w:val="00103ADA"/>
    <w:rsid w:val="001070F3"/>
    <w:rsid w:val="0011155B"/>
    <w:rsid w:val="00123CA0"/>
    <w:rsid w:val="0013452B"/>
    <w:rsid w:val="00141C10"/>
    <w:rsid w:val="00142D57"/>
    <w:rsid w:val="001446C5"/>
    <w:rsid w:val="00155D2B"/>
    <w:rsid w:val="00171657"/>
    <w:rsid w:val="0018132C"/>
    <w:rsid w:val="00182E1B"/>
    <w:rsid w:val="001A09FD"/>
    <w:rsid w:val="001A4953"/>
    <w:rsid w:val="001A6B5F"/>
    <w:rsid w:val="001B18CA"/>
    <w:rsid w:val="001B375E"/>
    <w:rsid w:val="001B54AC"/>
    <w:rsid w:val="001C46DE"/>
    <w:rsid w:val="001C5C79"/>
    <w:rsid w:val="001D0103"/>
    <w:rsid w:val="0023070E"/>
    <w:rsid w:val="0023334C"/>
    <w:rsid w:val="002364B5"/>
    <w:rsid w:val="00243424"/>
    <w:rsid w:val="00245E01"/>
    <w:rsid w:val="002513AC"/>
    <w:rsid w:val="0025794E"/>
    <w:rsid w:val="0027330D"/>
    <w:rsid w:val="00281EFF"/>
    <w:rsid w:val="00291438"/>
    <w:rsid w:val="00291C27"/>
    <w:rsid w:val="002A2A23"/>
    <w:rsid w:val="002A5D0D"/>
    <w:rsid w:val="002C1A53"/>
    <w:rsid w:val="002C2D93"/>
    <w:rsid w:val="002D41AA"/>
    <w:rsid w:val="002E1BFD"/>
    <w:rsid w:val="002F105B"/>
    <w:rsid w:val="002F407E"/>
    <w:rsid w:val="002F7A5C"/>
    <w:rsid w:val="00317AF6"/>
    <w:rsid w:val="0032293C"/>
    <w:rsid w:val="00324B9C"/>
    <w:rsid w:val="00326799"/>
    <w:rsid w:val="003274A4"/>
    <w:rsid w:val="00330BED"/>
    <w:rsid w:val="0033269D"/>
    <w:rsid w:val="00341E9E"/>
    <w:rsid w:val="00351987"/>
    <w:rsid w:val="00354E80"/>
    <w:rsid w:val="00355C20"/>
    <w:rsid w:val="00360725"/>
    <w:rsid w:val="00361DA3"/>
    <w:rsid w:val="003629C9"/>
    <w:rsid w:val="003711A0"/>
    <w:rsid w:val="003821F5"/>
    <w:rsid w:val="003824CA"/>
    <w:rsid w:val="003913A3"/>
    <w:rsid w:val="003A637C"/>
    <w:rsid w:val="003B0464"/>
    <w:rsid w:val="003B4567"/>
    <w:rsid w:val="003D443D"/>
    <w:rsid w:val="003E2543"/>
    <w:rsid w:val="003F4A18"/>
    <w:rsid w:val="003F51E1"/>
    <w:rsid w:val="003F6A3A"/>
    <w:rsid w:val="004039A4"/>
    <w:rsid w:val="00412017"/>
    <w:rsid w:val="00421207"/>
    <w:rsid w:val="004226C1"/>
    <w:rsid w:val="00424FEE"/>
    <w:rsid w:val="00431BB2"/>
    <w:rsid w:val="00461D34"/>
    <w:rsid w:val="00472AAE"/>
    <w:rsid w:val="00487A86"/>
    <w:rsid w:val="004B6135"/>
    <w:rsid w:val="004B652A"/>
    <w:rsid w:val="004C1F2F"/>
    <w:rsid w:val="004D0086"/>
    <w:rsid w:val="004D1CF6"/>
    <w:rsid w:val="004D4B45"/>
    <w:rsid w:val="004D75BA"/>
    <w:rsid w:val="004E1B9F"/>
    <w:rsid w:val="004E7277"/>
    <w:rsid w:val="00500352"/>
    <w:rsid w:val="0050350F"/>
    <w:rsid w:val="0050487C"/>
    <w:rsid w:val="00512670"/>
    <w:rsid w:val="00522D98"/>
    <w:rsid w:val="00537ACD"/>
    <w:rsid w:val="005441EF"/>
    <w:rsid w:val="0054696F"/>
    <w:rsid w:val="005512DF"/>
    <w:rsid w:val="0055549E"/>
    <w:rsid w:val="00594760"/>
    <w:rsid w:val="005A066B"/>
    <w:rsid w:val="005A20E2"/>
    <w:rsid w:val="005A5C4E"/>
    <w:rsid w:val="005A5F7A"/>
    <w:rsid w:val="005B2C35"/>
    <w:rsid w:val="005C2293"/>
    <w:rsid w:val="005C3C4B"/>
    <w:rsid w:val="005C43AD"/>
    <w:rsid w:val="005E3B61"/>
    <w:rsid w:val="005E6DF1"/>
    <w:rsid w:val="005F2375"/>
    <w:rsid w:val="005F441D"/>
    <w:rsid w:val="00604EB2"/>
    <w:rsid w:val="00612BED"/>
    <w:rsid w:val="00614E29"/>
    <w:rsid w:val="006342CD"/>
    <w:rsid w:val="00651769"/>
    <w:rsid w:val="00665EC7"/>
    <w:rsid w:val="0067117C"/>
    <w:rsid w:val="00672A42"/>
    <w:rsid w:val="00673B72"/>
    <w:rsid w:val="00684012"/>
    <w:rsid w:val="00692770"/>
    <w:rsid w:val="006970CB"/>
    <w:rsid w:val="006A2059"/>
    <w:rsid w:val="006B0AE9"/>
    <w:rsid w:val="006B1A3C"/>
    <w:rsid w:val="006B5328"/>
    <w:rsid w:val="006C18CF"/>
    <w:rsid w:val="006C2248"/>
    <w:rsid w:val="006C274B"/>
    <w:rsid w:val="006C4CD2"/>
    <w:rsid w:val="006C72FD"/>
    <w:rsid w:val="006D367A"/>
    <w:rsid w:val="006D5483"/>
    <w:rsid w:val="006F664F"/>
    <w:rsid w:val="00704F8B"/>
    <w:rsid w:val="007062F7"/>
    <w:rsid w:val="00706C6C"/>
    <w:rsid w:val="007171F2"/>
    <w:rsid w:val="0072479B"/>
    <w:rsid w:val="00754F4E"/>
    <w:rsid w:val="00757BD0"/>
    <w:rsid w:val="00760A4A"/>
    <w:rsid w:val="0076282F"/>
    <w:rsid w:val="00765B2B"/>
    <w:rsid w:val="00774595"/>
    <w:rsid w:val="00780B9F"/>
    <w:rsid w:val="007826FD"/>
    <w:rsid w:val="007A0AF3"/>
    <w:rsid w:val="007A7CE4"/>
    <w:rsid w:val="007B10F3"/>
    <w:rsid w:val="007B7D70"/>
    <w:rsid w:val="007C6E70"/>
    <w:rsid w:val="007C7550"/>
    <w:rsid w:val="007C7B8E"/>
    <w:rsid w:val="007D1434"/>
    <w:rsid w:val="007D4799"/>
    <w:rsid w:val="007F3EA3"/>
    <w:rsid w:val="00803BC1"/>
    <w:rsid w:val="00806FE9"/>
    <w:rsid w:val="008174A0"/>
    <w:rsid w:val="00822B53"/>
    <w:rsid w:val="0084140C"/>
    <w:rsid w:val="00844179"/>
    <w:rsid w:val="00865213"/>
    <w:rsid w:val="00865744"/>
    <w:rsid w:val="00873AA4"/>
    <w:rsid w:val="00875077"/>
    <w:rsid w:val="00875294"/>
    <w:rsid w:val="0088348F"/>
    <w:rsid w:val="008910F6"/>
    <w:rsid w:val="008A3CFB"/>
    <w:rsid w:val="008B356B"/>
    <w:rsid w:val="008B5887"/>
    <w:rsid w:val="008D3E68"/>
    <w:rsid w:val="008D77A1"/>
    <w:rsid w:val="008E617C"/>
    <w:rsid w:val="008F0285"/>
    <w:rsid w:val="008F3A45"/>
    <w:rsid w:val="0090134A"/>
    <w:rsid w:val="009028B5"/>
    <w:rsid w:val="009058DF"/>
    <w:rsid w:val="009073FD"/>
    <w:rsid w:val="00917B4A"/>
    <w:rsid w:val="00921011"/>
    <w:rsid w:val="00922E68"/>
    <w:rsid w:val="009414A2"/>
    <w:rsid w:val="00954124"/>
    <w:rsid w:val="00972FCE"/>
    <w:rsid w:val="00975D1E"/>
    <w:rsid w:val="00976D68"/>
    <w:rsid w:val="00976E4D"/>
    <w:rsid w:val="00981997"/>
    <w:rsid w:val="00991904"/>
    <w:rsid w:val="009923DF"/>
    <w:rsid w:val="009B0FF6"/>
    <w:rsid w:val="009B4C91"/>
    <w:rsid w:val="009C5333"/>
    <w:rsid w:val="009D7D83"/>
    <w:rsid w:val="009F0504"/>
    <w:rsid w:val="009F212C"/>
    <w:rsid w:val="00A0217F"/>
    <w:rsid w:val="00A035C8"/>
    <w:rsid w:val="00A170B1"/>
    <w:rsid w:val="00A2240A"/>
    <w:rsid w:val="00A26E1D"/>
    <w:rsid w:val="00A3451C"/>
    <w:rsid w:val="00A42BA2"/>
    <w:rsid w:val="00A45785"/>
    <w:rsid w:val="00A553A2"/>
    <w:rsid w:val="00A5698E"/>
    <w:rsid w:val="00A56D15"/>
    <w:rsid w:val="00A70E14"/>
    <w:rsid w:val="00A70F35"/>
    <w:rsid w:val="00A70F75"/>
    <w:rsid w:val="00A7341C"/>
    <w:rsid w:val="00A8022F"/>
    <w:rsid w:val="00A87298"/>
    <w:rsid w:val="00A96AC2"/>
    <w:rsid w:val="00AB4B5B"/>
    <w:rsid w:val="00AC29FD"/>
    <w:rsid w:val="00AC2CF3"/>
    <w:rsid w:val="00AC339B"/>
    <w:rsid w:val="00AC59AB"/>
    <w:rsid w:val="00AC7084"/>
    <w:rsid w:val="00AC7137"/>
    <w:rsid w:val="00AD3E7F"/>
    <w:rsid w:val="00AD7592"/>
    <w:rsid w:val="00AE638B"/>
    <w:rsid w:val="00AF1355"/>
    <w:rsid w:val="00AF6216"/>
    <w:rsid w:val="00B014C9"/>
    <w:rsid w:val="00B13329"/>
    <w:rsid w:val="00B14E94"/>
    <w:rsid w:val="00B36F90"/>
    <w:rsid w:val="00B45BCF"/>
    <w:rsid w:val="00B50655"/>
    <w:rsid w:val="00B550B4"/>
    <w:rsid w:val="00B8584F"/>
    <w:rsid w:val="00B87114"/>
    <w:rsid w:val="00B906FC"/>
    <w:rsid w:val="00B91C6C"/>
    <w:rsid w:val="00BA776F"/>
    <w:rsid w:val="00BB74F3"/>
    <w:rsid w:val="00BB77A2"/>
    <w:rsid w:val="00BC0D3B"/>
    <w:rsid w:val="00BD490F"/>
    <w:rsid w:val="00BF020F"/>
    <w:rsid w:val="00C06E72"/>
    <w:rsid w:val="00C110C2"/>
    <w:rsid w:val="00C12749"/>
    <w:rsid w:val="00C264D3"/>
    <w:rsid w:val="00C2664C"/>
    <w:rsid w:val="00C33391"/>
    <w:rsid w:val="00C35EFB"/>
    <w:rsid w:val="00C37C28"/>
    <w:rsid w:val="00C4062C"/>
    <w:rsid w:val="00C40EC0"/>
    <w:rsid w:val="00C46000"/>
    <w:rsid w:val="00C46593"/>
    <w:rsid w:val="00C472E4"/>
    <w:rsid w:val="00C51454"/>
    <w:rsid w:val="00C626D4"/>
    <w:rsid w:val="00C750F1"/>
    <w:rsid w:val="00C768BA"/>
    <w:rsid w:val="00C803A0"/>
    <w:rsid w:val="00C94B57"/>
    <w:rsid w:val="00CA30E4"/>
    <w:rsid w:val="00CC237A"/>
    <w:rsid w:val="00CC337D"/>
    <w:rsid w:val="00CC5999"/>
    <w:rsid w:val="00CD7189"/>
    <w:rsid w:val="00CF27D9"/>
    <w:rsid w:val="00CF497D"/>
    <w:rsid w:val="00D119EE"/>
    <w:rsid w:val="00D17B49"/>
    <w:rsid w:val="00D316AD"/>
    <w:rsid w:val="00D33998"/>
    <w:rsid w:val="00D34610"/>
    <w:rsid w:val="00D379E8"/>
    <w:rsid w:val="00D437F2"/>
    <w:rsid w:val="00D45B99"/>
    <w:rsid w:val="00D46BB9"/>
    <w:rsid w:val="00D53F55"/>
    <w:rsid w:val="00D57809"/>
    <w:rsid w:val="00D709D5"/>
    <w:rsid w:val="00D73881"/>
    <w:rsid w:val="00D761FE"/>
    <w:rsid w:val="00D835FD"/>
    <w:rsid w:val="00D85E4A"/>
    <w:rsid w:val="00D96A95"/>
    <w:rsid w:val="00DC2CD3"/>
    <w:rsid w:val="00DF143C"/>
    <w:rsid w:val="00E00C79"/>
    <w:rsid w:val="00E02889"/>
    <w:rsid w:val="00E1045A"/>
    <w:rsid w:val="00E22033"/>
    <w:rsid w:val="00E5194F"/>
    <w:rsid w:val="00E56937"/>
    <w:rsid w:val="00E87363"/>
    <w:rsid w:val="00E904D4"/>
    <w:rsid w:val="00E91422"/>
    <w:rsid w:val="00E91A98"/>
    <w:rsid w:val="00EA493E"/>
    <w:rsid w:val="00EA7910"/>
    <w:rsid w:val="00EB2547"/>
    <w:rsid w:val="00EE059E"/>
    <w:rsid w:val="00EE6B6B"/>
    <w:rsid w:val="00EF57F2"/>
    <w:rsid w:val="00EF768D"/>
    <w:rsid w:val="00F03CB0"/>
    <w:rsid w:val="00F06903"/>
    <w:rsid w:val="00F16F8E"/>
    <w:rsid w:val="00F21944"/>
    <w:rsid w:val="00F32185"/>
    <w:rsid w:val="00F7636B"/>
    <w:rsid w:val="00F80D96"/>
    <w:rsid w:val="00F85A58"/>
    <w:rsid w:val="00F90300"/>
    <w:rsid w:val="00F909AC"/>
    <w:rsid w:val="00F94896"/>
    <w:rsid w:val="00F972F7"/>
    <w:rsid w:val="00FA1BE7"/>
    <w:rsid w:val="00FA4810"/>
    <w:rsid w:val="00FB7437"/>
    <w:rsid w:val="00FC1280"/>
    <w:rsid w:val="00FD4926"/>
    <w:rsid w:val="00FE36E9"/>
    <w:rsid w:val="00FF7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87097"/>
  <w15:docId w15:val="{EC691E17-55A4-4727-9E94-386F73C39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6"/>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ACD"/>
    <w:pPr>
      <w:jc w:val="left"/>
    </w:pPr>
    <w:rPr>
      <w:rFonts w:eastAsia="Times New Roman" w:cs="Times New Roman"/>
      <w:sz w:val="24"/>
      <w:szCs w:val="24"/>
      <w:lang w:eastAsia="ja-JP"/>
    </w:rPr>
  </w:style>
  <w:style w:type="paragraph" w:styleId="Heading1">
    <w:name w:val="heading 1"/>
    <w:basedOn w:val="Normal"/>
    <w:link w:val="Heading1Char"/>
    <w:uiPriority w:val="9"/>
    <w:qFormat/>
    <w:rsid w:val="001B375E"/>
    <w:pPr>
      <w:spacing w:before="100" w:beforeAutospacing="1" w:after="100" w:afterAutospacing="1"/>
      <w:outlineLvl w:val="0"/>
    </w:pPr>
    <w:rPr>
      <w:b/>
      <w:bCs/>
      <w:kern w:val="36"/>
      <w:sz w:val="48"/>
      <w:szCs w:val="48"/>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ACD"/>
    <w:pPr>
      <w:tabs>
        <w:tab w:val="center" w:pos="4680"/>
        <w:tab w:val="right" w:pos="9360"/>
      </w:tabs>
    </w:pPr>
  </w:style>
  <w:style w:type="character" w:customStyle="1" w:styleId="HeaderChar">
    <w:name w:val="Header Char"/>
    <w:basedOn w:val="DefaultParagraphFont"/>
    <w:link w:val="Header"/>
    <w:uiPriority w:val="99"/>
    <w:rsid w:val="00537ACD"/>
    <w:rPr>
      <w:rFonts w:eastAsia="Times New Roman" w:cs="Times New Roman"/>
      <w:sz w:val="24"/>
      <w:szCs w:val="24"/>
      <w:lang w:eastAsia="ja-JP"/>
    </w:rPr>
  </w:style>
  <w:style w:type="paragraph" w:styleId="Footer">
    <w:name w:val="footer"/>
    <w:basedOn w:val="Normal"/>
    <w:link w:val="FooterChar"/>
    <w:uiPriority w:val="99"/>
    <w:unhideWhenUsed/>
    <w:rsid w:val="00537ACD"/>
    <w:pPr>
      <w:tabs>
        <w:tab w:val="center" w:pos="4680"/>
        <w:tab w:val="right" w:pos="9360"/>
      </w:tabs>
    </w:pPr>
  </w:style>
  <w:style w:type="character" w:customStyle="1" w:styleId="FooterChar">
    <w:name w:val="Footer Char"/>
    <w:basedOn w:val="DefaultParagraphFont"/>
    <w:link w:val="Footer"/>
    <w:uiPriority w:val="99"/>
    <w:rsid w:val="00537ACD"/>
    <w:rPr>
      <w:rFonts w:eastAsia="Times New Roman" w:cs="Times New Roman"/>
      <w:sz w:val="24"/>
      <w:szCs w:val="24"/>
      <w:lang w:eastAsia="ja-JP"/>
    </w:rPr>
  </w:style>
  <w:style w:type="character" w:styleId="Hyperlink">
    <w:name w:val="Hyperlink"/>
    <w:uiPriority w:val="99"/>
    <w:semiHidden/>
    <w:unhideWhenUsed/>
    <w:rsid w:val="00537ACD"/>
    <w:rPr>
      <w:color w:val="auto"/>
      <w:u w:val="single"/>
    </w:rPr>
  </w:style>
  <w:style w:type="table" w:styleId="TableGrid">
    <w:name w:val="Table Grid"/>
    <w:basedOn w:val="TableNormal"/>
    <w:uiPriority w:val="59"/>
    <w:unhideWhenUsed/>
    <w:rsid w:val="00A70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C4CD2"/>
    <w:rPr>
      <w:sz w:val="20"/>
      <w:szCs w:val="20"/>
    </w:rPr>
  </w:style>
  <w:style w:type="character" w:customStyle="1" w:styleId="FootnoteTextChar">
    <w:name w:val="Footnote Text Char"/>
    <w:basedOn w:val="DefaultParagraphFont"/>
    <w:link w:val="FootnoteText"/>
    <w:uiPriority w:val="99"/>
    <w:rsid w:val="006C4CD2"/>
    <w:rPr>
      <w:rFonts w:eastAsia="Times New Roman" w:cs="Times New Roman"/>
      <w:sz w:val="20"/>
      <w:szCs w:val="20"/>
      <w:lang w:eastAsia="ja-JP"/>
    </w:rPr>
  </w:style>
  <w:style w:type="character" w:styleId="FootnoteReference">
    <w:name w:val="footnote reference"/>
    <w:basedOn w:val="DefaultParagraphFont"/>
    <w:unhideWhenUsed/>
    <w:rsid w:val="006C4CD2"/>
    <w:rPr>
      <w:vertAlign w:val="superscript"/>
    </w:rPr>
  </w:style>
  <w:style w:type="paragraph" w:styleId="ListParagraph">
    <w:name w:val="List Paragraph"/>
    <w:basedOn w:val="Normal"/>
    <w:qFormat/>
    <w:rsid w:val="00D85E4A"/>
    <w:pPr>
      <w:ind w:left="720"/>
      <w:contextualSpacing/>
    </w:pPr>
  </w:style>
  <w:style w:type="paragraph" w:styleId="BodyText">
    <w:name w:val="Body Text"/>
    <w:basedOn w:val="Normal"/>
    <w:link w:val="BodyTextChar"/>
    <w:rsid w:val="006C2248"/>
    <w:pPr>
      <w:spacing w:before="40" w:after="40" w:line="312" w:lineRule="auto"/>
      <w:jc w:val="both"/>
    </w:pPr>
    <w:rPr>
      <w:rFonts w:ascii=".VnTime" w:hAnsi=".VnTime"/>
      <w:sz w:val="28"/>
      <w:szCs w:val="20"/>
      <w:lang w:eastAsia="en-US"/>
    </w:rPr>
  </w:style>
  <w:style w:type="character" w:customStyle="1" w:styleId="BodyTextChar">
    <w:name w:val="Body Text Char"/>
    <w:basedOn w:val="DefaultParagraphFont"/>
    <w:link w:val="BodyText"/>
    <w:rsid w:val="006C2248"/>
    <w:rPr>
      <w:rFonts w:ascii=".VnTime" w:eastAsia="Times New Roman" w:hAnsi=".VnTime" w:cs="Times New Roman"/>
      <w:sz w:val="28"/>
      <w:szCs w:val="20"/>
    </w:rPr>
  </w:style>
  <w:style w:type="character" w:customStyle="1" w:styleId="text">
    <w:name w:val="text"/>
    <w:basedOn w:val="DefaultParagraphFont"/>
    <w:rsid w:val="00AD3E7F"/>
  </w:style>
  <w:style w:type="character" w:customStyle="1" w:styleId="Heading1Char">
    <w:name w:val="Heading 1 Char"/>
    <w:basedOn w:val="DefaultParagraphFont"/>
    <w:link w:val="Heading1"/>
    <w:uiPriority w:val="9"/>
    <w:rsid w:val="001B375E"/>
    <w:rPr>
      <w:rFonts w:eastAsia="Times New Roman" w:cs="Times New Roman"/>
      <w:b/>
      <w:bCs/>
      <w:kern w:val="36"/>
      <w:sz w:val="48"/>
      <w:szCs w:val="48"/>
      <w:lang w:val="en-ID" w:eastAsia="en-ID"/>
    </w:rPr>
  </w:style>
  <w:style w:type="character" w:customStyle="1" w:styleId="fontstyle01">
    <w:name w:val="fontstyle01"/>
    <w:basedOn w:val="DefaultParagraphFont"/>
    <w:rsid w:val="003F4A18"/>
    <w:rPr>
      <w:rFonts w:ascii="TimesNewRomanPS-BoldMT" w:hAnsi="TimesNewRomanPS-BoldMT" w:hint="default"/>
      <w:b/>
      <w:bCs/>
      <w:i w:val="0"/>
      <w:iCs w:val="0"/>
      <w:color w:val="000000"/>
      <w:sz w:val="28"/>
      <w:szCs w:val="28"/>
    </w:rPr>
  </w:style>
  <w:style w:type="paragraph" w:styleId="NormalWeb">
    <w:name w:val="Normal (Web)"/>
    <w:basedOn w:val="Normal"/>
    <w:uiPriority w:val="99"/>
    <w:rsid w:val="003F4A18"/>
    <w:pPr>
      <w:spacing w:before="100" w:beforeAutospacing="1" w:after="100" w:afterAutospacing="1"/>
    </w:pPr>
    <w:rPr>
      <w:lang w:eastAsia="en-US"/>
    </w:rPr>
  </w:style>
  <w:style w:type="paragraph" w:styleId="BalloonText">
    <w:name w:val="Balloon Text"/>
    <w:basedOn w:val="Normal"/>
    <w:link w:val="BalloonTextChar"/>
    <w:uiPriority w:val="99"/>
    <w:semiHidden/>
    <w:unhideWhenUsed/>
    <w:rsid w:val="008A3C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CFB"/>
    <w:rPr>
      <w:rFonts w:ascii="Segoe UI" w:eastAsia="Times New Roman" w:hAnsi="Segoe UI" w:cs="Segoe UI"/>
      <w:sz w:val="18"/>
      <w:szCs w:val="18"/>
      <w:lang w:eastAsia="ja-JP"/>
    </w:rPr>
  </w:style>
  <w:style w:type="paragraph" w:styleId="Revision">
    <w:name w:val="Revision"/>
    <w:hidden/>
    <w:uiPriority w:val="99"/>
    <w:semiHidden/>
    <w:rsid w:val="00921011"/>
    <w:pPr>
      <w:jc w:val="left"/>
    </w:pPr>
    <w:rPr>
      <w:rFonts w:eastAsia="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5853278">
      <w:bodyDiv w:val="1"/>
      <w:marLeft w:val="0"/>
      <w:marRight w:val="0"/>
      <w:marTop w:val="0"/>
      <w:marBottom w:val="0"/>
      <w:divBdr>
        <w:top w:val="none" w:sz="0" w:space="0" w:color="auto"/>
        <w:left w:val="none" w:sz="0" w:space="0" w:color="auto"/>
        <w:bottom w:val="none" w:sz="0" w:space="0" w:color="auto"/>
        <w:right w:val="none" w:sz="0" w:space="0" w:color="auto"/>
      </w:divBdr>
      <w:divsChild>
        <w:div w:id="2146652602">
          <w:marLeft w:val="0"/>
          <w:marRight w:val="0"/>
          <w:marTop w:val="0"/>
          <w:marBottom w:val="0"/>
          <w:divBdr>
            <w:top w:val="none" w:sz="0" w:space="0" w:color="auto"/>
            <w:left w:val="none" w:sz="0" w:space="0" w:color="auto"/>
            <w:bottom w:val="none" w:sz="0" w:space="0" w:color="auto"/>
            <w:right w:val="none" w:sz="0" w:space="0" w:color="auto"/>
          </w:divBdr>
          <w:divsChild>
            <w:div w:id="155461618">
              <w:marLeft w:val="0"/>
              <w:marRight w:val="0"/>
              <w:marTop w:val="0"/>
              <w:marBottom w:val="0"/>
              <w:divBdr>
                <w:top w:val="none" w:sz="0" w:space="0" w:color="auto"/>
                <w:left w:val="none" w:sz="0" w:space="0" w:color="auto"/>
                <w:bottom w:val="none" w:sz="0" w:space="0" w:color="auto"/>
                <w:right w:val="none" w:sz="0" w:space="0" w:color="auto"/>
              </w:divBdr>
              <w:divsChild>
                <w:div w:id="1136098233">
                  <w:marLeft w:val="0"/>
                  <w:marRight w:val="0"/>
                  <w:marTop w:val="0"/>
                  <w:marBottom w:val="60"/>
                  <w:divBdr>
                    <w:top w:val="none" w:sz="0" w:space="0" w:color="auto"/>
                    <w:left w:val="none" w:sz="0" w:space="0" w:color="auto"/>
                    <w:bottom w:val="none" w:sz="0" w:space="0" w:color="auto"/>
                    <w:right w:val="none" w:sz="0" w:space="0" w:color="auto"/>
                  </w:divBdr>
                  <w:divsChild>
                    <w:div w:id="19024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BC157-8EF7-4F8E-BB2A-AE686B0A1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646</TotalTime>
  <Pages>10</Pages>
  <Words>3987</Words>
  <Characters>22731</Characters>
  <Application>Microsoft Office Word</Application>
  <DocSecurity>0</DocSecurity>
  <Lines>189</Lines>
  <Paragraphs>53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26665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Dao Thi Minh Chau</cp:lastModifiedBy>
  <cp:revision>72</cp:revision>
  <cp:lastPrinted>2024-08-24T09:02:00Z</cp:lastPrinted>
  <dcterms:created xsi:type="dcterms:W3CDTF">2023-12-04T10:25:00Z</dcterms:created>
  <dcterms:modified xsi:type="dcterms:W3CDTF">2024-08-24T09:03:00Z</dcterms:modified>
</cp:coreProperties>
</file>