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CC" w:rsidRPr="00CC7ACC" w:rsidRDefault="00CC7ACC" w:rsidP="00CC7ACC">
      <w:pPr>
        <w:spacing w:before="60" w:after="6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Bảng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đối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sách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mục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tiêu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CTĐT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của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Trường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Đại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học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Vinh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với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CTĐT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của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các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cơ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sở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đào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tạo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khác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: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Trường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Đại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học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Quy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Nhơn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;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Học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viện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Báo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chí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và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Tuyên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truyền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Hà</w:t>
      </w:r>
      <w:proofErr w:type="spellEnd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C7A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Nội</w:t>
      </w:r>
      <w:proofErr w:type="spellEnd"/>
    </w:p>
    <w:p w:rsidR="00CC7ACC" w:rsidRPr="00CC7ACC" w:rsidRDefault="00CC7ACC" w:rsidP="00CC7ACC">
      <w:pPr>
        <w:spacing w:before="60" w:after="6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1276"/>
        <w:gridCol w:w="2552"/>
        <w:gridCol w:w="2551"/>
        <w:gridCol w:w="3119"/>
      </w:tblGrid>
      <w:tr w:rsidR="00CC7ACC" w:rsidRPr="00CC7ACC" w:rsidTr="00024938">
        <w:tc>
          <w:tcPr>
            <w:tcW w:w="1276" w:type="dxa"/>
          </w:tcPr>
          <w:p w:rsidR="00CC7ACC" w:rsidRPr="00CC7ACC" w:rsidRDefault="00CC7ACC" w:rsidP="00CC7A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>đối</w:t>
            </w:r>
            <w:proofErr w:type="spellEnd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>sánh</w:t>
            </w:r>
            <w:proofErr w:type="spellEnd"/>
          </w:p>
        </w:tc>
        <w:tc>
          <w:tcPr>
            <w:tcW w:w="2552" w:type="dxa"/>
          </w:tcPr>
          <w:p w:rsidR="00CC7ACC" w:rsidRPr="00CC7ACC" w:rsidRDefault="00CC7ACC" w:rsidP="00CC7A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>Trường</w:t>
            </w:r>
            <w:proofErr w:type="spellEnd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>Đại</w:t>
            </w:r>
            <w:proofErr w:type="spellEnd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>Vinh</w:t>
            </w:r>
            <w:proofErr w:type="spellEnd"/>
          </w:p>
        </w:tc>
        <w:tc>
          <w:tcPr>
            <w:tcW w:w="2551" w:type="dxa"/>
          </w:tcPr>
          <w:p w:rsidR="00CC7ACC" w:rsidRPr="00CC7ACC" w:rsidRDefault="00CC7ACC" w:rsidP="00CC7A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>Trường</w:t>
            </w:r>
            <w:proofErr w:type="spellEnd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>Đại</w:t>
            </w:r>
            <w:proofErr w:type="spellEnd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>Quy</w:t>
            </w:r>
            <w:proofErr w:type="spellEnd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>Nhơn</w:t>
            </w:r>
            <w:proofErr w:type="spellEnd"/>
          </w:p>
        </w:tc>
        <w:tc>
          <w:tcPr>
            <w:tcW w:w="3119" w:type="dxa"/>
          </w:tcPr>
          <w:p w:rsidR="00CC7ACC" w:rsidRPr="00CC7ACC" w:rsidRDefault="00CC7ACC" w:rsidP="00CC7A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>viện</w:t>
            </w:r>
            <w:proofErr w:type="spellEnd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>Báo</w:t>
            </w:r>
            <w:proofErr w:type="spellEnd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>chí</w:t>
            </w:r>
            <w:proofErr w:type="spellEnd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>Tuyên</w:t>
            </w:r>
            <w:proofErr w:type="spellEnd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>truyền</w:t>
            </w:r>
            <w:proofErr w:type="spellEnd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>Hà</w:t>
            </w:r>
            <w:proofErr w:type="spellEnd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</w:p>
        </w:tc>
      </w:tr>
      <w:tr w:rsidR="00CC7ACC" w:rsidRPr="00CC7ACC" w:rsidTr="00024938">
        <w:tc>
          <w:tcPr>
            <w:tcW w:w="1276" w:type="dxa"/>
          </w:tcPr>
          <w:p w:rsidR="00CC7ACC" w:rsidRPr="00CC7ACC" w:rsidRDefault="00CC7ACC" w:rsidP="00CC7ACC">
            <w:pPr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C7ACC">
              <w:rPr>
                <w:rFonts w:ascii="Times New Roman" w:hAnsi="Times New Roman"/>
                <w:i/>
                <w:sz w:val="24"/>
                <w:szCs w:val="24"/>
              </w:rPr>
              <w:t>Mục</w:t>
            </w:r>
            <w:proofErr w:type="spellEnd"/>
            <w:r w:rsidRPr="00CC7A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i/>
                <w:sz w:val="24"/>
                <w:szCs w:val="24"/>
              </w:rPr>
              <w:t>tiêu</w:t>
            </w:r>
            <w:proofErr w:type="spellEnd"/>
            <w:r w:rsidRPr="00CC7A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i/>
                <w:sz w:val="24"/>
                <w:szCs w:val="24"/>
              </w:rPr>
              <w:t>tổng</w:t>
            </w:r>
            <w:proofErr w:type="spellEnd"/>
            <w:r w:rsidRPr="00CC7A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i/>
                <w:sz w:val="24"/>
                <w:szCs w:val="24"/>
              </w:rPr>
              <w:t>quát</w:t>
            </w:r>
            <w:proofErr w:type="spellEnd"/>
          </w:p>
        </w:tc>
        <w:tc>
          <w:tcPr>
            <w:tcW w:w="2552" w:type="dxa"/>
          </w:tcPr>
          <w:p w:rsidR="00CC7ACC" w:rsidRPr="00CC7ACC" w:rsidRDefault="00CC7ACC" w:rsidP="00CC7ACC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AC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Đào</w:t>
            </w:r>
            <w:proofErr w:type="spellEnd"/>
            <w:r w:rsidRPr="00CC7AC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tạo</w:t>
            </w:r>
            <w:proofErr w:type="spellEnd"/>
            <w:r w:rsidRPr="00CC7AC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cử</w:t>
            </w:r>
            <w:proofErr w:type="spellEnd"/>
            <w:r w:rsidRPr="00CC7AC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nhân</w:t>
            </w:r>
            <w:proofErr w:type="spellEnd"/>
            <w:r w:rsidRPr="00CC7AC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QLNN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có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sâu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lĩnh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vực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quản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nghề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phẩm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đức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phong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có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năng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lực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hình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thành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ý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tưởng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kế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hoạch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thực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hiện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và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đánh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giá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các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hoạt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động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QLNN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trong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bối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cảnh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hiện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hóa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đất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nước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và</w:t>
            </w:r>
            <w:proofErr w:type="spellEnd"/>
            <w:r w:rsidRPr="00CC7A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hội</w:t>
            </w:r>
            <w:proofErr w:type="spellEnd"/>
            <w:r w:rsidRPr="00CC7A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nhập</w:t>
            </w:r>
            <w:proofErr w:type="spellEnd"/>
            <w:r w:rsidRPr="00CC7A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quốc</w:t>
            </w:r>
            <w:proofErr w:type="spellEnd"/>
            <w:r w:rsidRPr="00CC7A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tế</w:t>
            </w:r>
            <w:proofErr w:type="spellEnd"/>
            <w:r w:rsidRPr="00CC7A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C7ACC" w:rsidRPr="00CC7ACC" w:rsidRDefault="00CC7ACC" w:rsidP="00CC7ACC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Đào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tạo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cử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QLNN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đạt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nghề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ACC" w:rsidRPr="00CC7ACC" w:rsidRDefault="00CC7ACC" w:rsidP="00CC7ACC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C7ACC" w:rsidRPr="00CC7ACC" w:rsidRDefault="00CC7ACC" w:rsidP="00CC7ACC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Đào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tạo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ngũ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cán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lập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vững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vàng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phẩm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đức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tốt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nắm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vững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môn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QLHCNN;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khả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mưu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tư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vấn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môn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lãnh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QLHCNN;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khả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gia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quản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những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lĩnh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vực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khác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nhau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thuộc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khả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nghiên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cứu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giảng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dạy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môn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QLHCNN;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bậc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SĐH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ngành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QLNN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ngoài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7ACC" w:rsidRPr="00CC7ACC" w:rsidTr="00024938">
        <w:tc>
          <w:tcPr>
            <w:tcW w:w="1276" w:type="dxa"/>
          </w:tcPr>
          <w:p w:rsidR="00CC7ACC" w:rsidRPr="00CC7ACC" w:rsidRDefault="00CC7ACC" w:rsidP="00CC7ACC">
            <w:pPr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C7ACC">
              <w:rPr>
                <w:rFonts w:ascii="Times New Roman" w:hAnsi="Times New Roman"/>
                <w:i/>
                <w:sz w:val="24"/>
                <w:szCs w:val="24"/>
              </w:rPr>
              <w:t>Mục</w:t>
            </w:r>
            <w:proofErr w:type="spellEnd"/>
            <w:r w:rsidRPr="00CC7A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i/>
                <w:sz w:val="24"/>
                <w:szCs w:val="24"/>
              </w:rPr>
              <w:t>tiêu</w:t>
            </w:r>
            <w:proofErr w:type="spellEnd"/>
            <w:r w:rsidRPr="00CC7A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i/>
                <w:sz w:val="24"/>
                <w:szCs w:val="24"/>
              </w:rPr>
              <w:t>cụ</w:t>
            </w:r>
            <w:proofErr w:type="spellEnd"/>
            <w:r w:rsidRPr="00CC7A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i/>
                <w:sz w:val="24"/>
                <w:szCs w:val="24"/>
              </w:rPr>
              <w:t>thể</w:t>
            </w:r>
            <w:proofErr w:type="spellEnd"/>
          </w:p>
        </w:tc>
        <w:tc>
          <w:tcPr>
            <w:tcW w:w="2552" w:type="dxa"/>
          </w:tcPr>
          <w:p w:rsidR="00CC7ACC" w:rsidRPr="00CC7ACC" w:rsidRDefault="00CC7ACC" w:rsidP="00CC7ACC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A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khoa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xã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sâu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quản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tin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ngoại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ngữ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ACC" w:rsidRPr="00CC7ACC" w:rsidRDefault="00CC7ACC" w:rsidP="00CC7ACC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ACC" w:rsidRPr="00CC7ACC" w:rsidRDefault="00CC7ACC" w:rsidP="00CC7ACC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ACC" w:rsidRPr="00CC7ACC" w:rsidRDefault="00CC7ACC" w:rsidP="00CC7ACC">
            <w:pPr>
              <w:spacing w:line="288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bookmarkStart w:id="0" w:name="_GoBack"/>
            <w:bookmarkEnd w:id="0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>Có</w:t>
            </w:r>
            <w:proofErr w:type="spellEnd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>kỹ</w:t>
            </w:r>
            <w:proofErr w:type="spellEnd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>năng</w:t>
            </w:r>
            <w:proofErr w:type="spellEnd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>giao</w:t>
            </w:r>
            <w:proofErr w:type="spellEnd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>tiếp</w:t>
            </w:r>
            <w:proofErr w:type="spellEnd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>hợp</w:t>
            </w:r>
            <w:proofErr w:type="spellEnd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>tác</w:t>
            </w:r>
            <w:proofErr w:type="spellEnd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>hát</w:t>
            </w:r>
            <w:proofErr w:type="spellEnd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>hiện</w:t>
            </w:r>
            <w:proofErr w:type="spellEnd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>giải</w:t>
            </w:r>
            <w:proofErr w:type="spellEnd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>quyết</w:t>
            </w:r>
            <w:proofErr w:type="spellEnd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>vấn</w:t>
            </w:r>
            <w:proofErr w:type="spellEnd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>đề</w:t>
            </w:r>
            <w:proofErr w:type="spellEnd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>nảy</w:t>
            </w:r>
            <w:proofErr w:type="spellEnd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>sinh</w:t>
            </w:r>
            <w:proofErr w:type="spellEnd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>trong</w:t>
            </w:r>
            <w:proofErr w:type="spellEnd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>quản</w:t>
            </w:r>
            <w:proofErr w:type="spellEnd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>lý</w:t>
            </w:r>
            <w:proofErr w:type="spellEnd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>nhà</w:t>
            </w:r>
            <w:proofErr w:type="spellEnd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8"/>
                <w:sz w:val="24"/>
                <w:szCs w:val="24"/>
              </w:rPr>
              <w:t>nước</w:t>
            </w:r>
            <w:proofErr w:type="spellEnd"/>
          </w:p>
          <w:p w:rsidR="00CC7ACC" w:rsidRPr="00CC7ACC" w:rsidRDefault="00CC7ACC" w:rsidP="00CC7ACC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ACC" w:rsidRPr="00CC7ACC" w:rsidRDefault="00CC7ACC" w:rsidP="00CC7ACC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ACC" w:rsidRPr="00CC7ACC" w:rsidRDefault="00CC7ACC" w:rsidP="00CC7ACC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ACC" w:rsidRPr="00CC7ACC" w:rsidRDefault="00CC7ACC" w:rsidP="00CC7ACC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A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>Có</w:t>
            </w:r>
            <w:proofErr w:type="spellEnd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>phẩm</w:t>
            </w:r>
            <w:proofErr w:type="spellEnd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>chất</w:t>
            </w:r>
            <w:proofErr w:type="spellEnd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>chính</w:t>
            </w:r>
            <w:proofErr w:type="spellEnd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>trị</w:t>
            </w:r>
            <w:proofErr w:type="spellEnd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>đạo</w:t>
            </w:r>
            <w:proofErr w:type="spellEnd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>đức</w:t>
            </w:r>
            <w:proofErr w:type="spellEnd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>tác</w:t>
            </w:r>
            <w:proofErr w:type="spellEnd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>phong</w:t>
            </w:r>
            <w:proofErr w:type="spellEnd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>nghề</w:t>
            </w:r>
            <w:proofErr w:type="spellEnd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sz w:val="24"/>
                <w:szCs w:val="24"/>
              </w:rPr>
              <w:t>nghiệp</w:t>
            </w:r>
            <w:proofErr w:type="spellEnd"/>
          </w:p>
          <w:p w:rsidR="00CC7ACC" w:rsidRPr="00CC7ACC" w:rsidRDefault="00CC7ACC" w:rsidP="00CC7ACC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A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>Có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>năng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>lực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>hình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>thành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ý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>tưởng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>lập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>kế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>hoạch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>thực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>hiện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>và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>đánh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>giá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>hoạt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>động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>quản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>lý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>nhà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>nước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>trong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bối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cảnh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hiện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hóa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đất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nước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và</w:t>
            </w:r>
            <w:proofErr w:type="spellEnd"/>
            <w:r w:rsidRPr="00CC7A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hội</w:t>
            </w:r>
            <w:proofErr w:type="spellEnd"/>
            <w:r w:rsidRPr="00CC7A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nhập</w:t>
            </w:r>
            <w:proofErr w:type="spellEnd"/>
            <w:r w:rsidRPr="00CC7A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quốc</w:t>
            </w:r>
            <w:proofErr w:type="spellEnd"/>
            <w:r w:rsidRPr="00CC7A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2551" w:type="dxa"/>
          </w:tcPr>
          <w:p w:rsidR="00CC7ACC" w:rsidRPr="00CC7ACC" w:rsidRDefault="00CC7ACC" w:rsidP="00CC7ACC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A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nền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QLNN;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phát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triển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kinh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xã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Việt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Nam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bối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cảnh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nay;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tin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ngoại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ngữ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ACC" w:rsidRPr="00CC7ACC" w:rsidRDefault="00CC7ACC" w:rsidP="00CC7ACC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A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xử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tình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huống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ACC" w:rsidRPr="00CC7ACC" w:rsidRDefault="00CC7ACC" w:rsidP="00CC7ACC">
            <w:pPr>
              <w:spacing w:line="28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7ACC" w:rsidRPr="00CC7ACC" w:rsidRDefault="00CC7ACC" w:rsidP="00CC7ACC">
            <w:pPr>
              <w:spacing w:line="28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7ACC" w:rsidRPr="00CC7ACC" w:rsidRDefault="00CC7ACC" w:rsidP="00CC7ACC">
            <w:pPr>
              <w:spacing w:line="28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7ACC" w:rsidRPr="00CC7ACC" w:rsidRDefault="00CC7ACC" w:rsidP="00CC7ACC">
            <w:pPr>
              <w:spacing w:line="28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7ACC" w:rsidRPr="00CC7ACC" w:rsidRDefault="00CC7ACC" w:rsidP="00CC7ACC">
            <w:pPr>
              <w:spacing w:line="28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7ACC" w:rsidRPr="00CC7ACC" w:rsidRDefault="00CC7ACC" w:rsidP="00CC7ACC">
            <w:pPr>
              <w:spacing w:line="28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C7ACC" w:rsidRPr="00CC7ACC" w:rsidRDefault="00CC7ACC" w:rsidP="00CC7ACC">
            <w:pPr>
              <w:spacing w:line="28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Năng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lực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tự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chủ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và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chịu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trách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nhiệm</w:t>
            </w:r>
            <w:proofErr w:type="spellEnd"/>
            <w:r w:rsidRPr="00CC7AC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: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tự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định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hướng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thích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nghi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với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công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trong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những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môi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trường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khác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nhau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tự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học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tập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tích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lũy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cập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nhật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kiến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thức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kinh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nghiệm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đưa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ra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các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quyế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đinh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kế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hoạch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đánh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giá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và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cải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tiến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các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hoạt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động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hành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chính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công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vụ</w:t>
            </w:r>
            <w:proofErr w:type="spellEnd"/>
            <w:r w:rsidRPr="00CC7AC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C7ACC" w:rsidRPr="00CC7ACC" w:rsidRDefault="00CC7ACC" w:rsidP="00CC7ACC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A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luận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khoa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xã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an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ninh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khả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rèn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ngành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ngành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ngành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QLNN;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tin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ngoại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ngữ</w:t>
            </w:r>
            <w:proofErr w:type="spellEnd"/>
          </w:p>
          <w:p w:rsidR="00CC7ACC" w:rsidRPr="00CC7ACC" w:rsidRDefault="00CC7ACC" w:rsidP="00CC7ACC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A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xử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tình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huống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cận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xử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tin;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ngôn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ngữ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7ACC">
              <w:rPr>
                <w:rFonts w:ascii="Times New Roman" w:hAnsi="Times New Roman"/>
                <w:sz w:val="24"/>
                <w:szCs w:val="24"/>
              </w:rPr>
              <w:t>lời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nói</w:t>
            </w:r>
            <w:proofErr w:type="spellEnd"/>
            <w:proofErr w:type="gram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>;</w:t>
            </w:r>
            <w:r w:rsidRPr="00CC7A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vấn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xử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tình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huống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quản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CC7ACC" w:rsidRPr="00CC7ACC" w:rsidRDefault="00CC7ACC" w:rsidP="00CC7ACC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AC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  <w:r w:rsidRPr="00CC7A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phẩm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đức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>,</w:t>
            </w:r>
            <w:r w:rsidRPr="00CC7A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phong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khoa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CC7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7ACC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</w:p>
        </w:tc>
      </w:tr>
    </w:tbl>
    <w:p w:rsidR="00443238" w:rsidRDefault="00443238"/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CC"/>
    <w:rsid w:val="00443238"/>
    <w:rsid w:val="00CC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82332"/>
  <w15:chartTrackingRefBased/>
  <w15:docId w15:val="{9774A58F-C3E8-4791-8396-82AD3AB7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ACC"/>
    <w:pPr>
      <w:spacing w:after="0" w:line="240" w:lineRule="auto"/>
    </w:pPr>
    <w:rPr>
      <w:rFonts w:ascii="Calibri" w:eastAsia="Times New Roman" w:hAnsi="Calibri" w:cs="Times New Roman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2024-10-17T07:18:00Z</dcterms:created>
  <dcterms:modified xsi:type="dcterms:W3CDTF">2024-10-17T07:19:00Z</dcterms:modified>
</cp:coreProperties>
</file>