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254B37" w:rsidRDefault="00254B37" w:rsidP="00254B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CTĐT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CĐR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Ngôn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25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4B37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4B37" w:rsidRPr="00254B37" w:rsidTr="00254B37"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CTĐT</w:t>
            </w:r>
          </w:p>
        </w:tc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CĐR CTĐT</w:t>
            </w:r>
          </w:p>
        </w:tc>
      </w:tr>
      <w:tr w:rsidR="00254B37" w:rsidRPr="00254B37" w:rsidTr="00254B37"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PO1.</w:t>
            </w:r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Vận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tảng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CNTT,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PLO1.1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tảng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khoa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luật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CNTT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</w:p>
          <w:p w:rsidR="00254B37" w:rsidRPr="00254B37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PLO1.2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tương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đương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bậc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5,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trị-xã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nói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</w:p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PLO1.3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ngôn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</w:p>
        </w:tc>
      </w:tr>
      <w:tr w:rsidR="00254B37" w:rsidRPr="00254B37" w:rsidTr="00254B37"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PO2</w:t>
            </w: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Vận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PLO2.</w:t>
            </w:r>
            <w:proofErr w:type="gramStart"/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Thể</w:t>
            </w:r>
            <w:proofErr w:type="gram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tư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duy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chuyên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</w:p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PLO2.2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mực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thần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</w:p>
        </w:tc>
      </w:tr>
      <w:tr w:rsidR="00254B37" w:rsidRPr="00254B37" w:rsidTr="00254B37"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PO3</w:t>
            </w: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thay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đổi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bối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PLO3.1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proofErr w:type="gram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nhóm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</w:p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PLO3.2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54B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Áp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lược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hiệu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hóa</w:t>
            </w:r>
            <w:proofErr w:type="spellEnd"/>
          </w:p>
        </w:tc>
      </w:tr>
      <w:tr w:rsidR="00254B37" w:rsidRPr="00254B37" w:rsidTr="00254B37"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PO4</w:t>
            </w: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54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54B37">
              <w:rPr>
                <w:rFonts w:ascii="Times New Roman" w:eastAsia="Calibri" w:hAnsi="Times New Roman" w:cs="Times New Roman"/>
                <w:bCs/>
                <w:iCs/>
                <w:kern w:val="0"/>
                <w:sz w:val="26"/>
                <w:szCs w:val="26"/>
                <w:lang w:val="da-DK"/>
                <w14:ligatures w14:val="none"/>
              </w:rPr>
              <w:t>Hình thành ý tưởng, xây dựng, triển khai và phát triển hoạt động nghề nghiệp biên-phiên dịch, du lịch, hành chính văn phòng, xây dựng dự án và truyền thông trong môi trường xã hội và doanh nghiệp có yếu tố nước ngoài.</w:t>
            </w:r>
          </w:p>
        </w:tc>
        <w:tc>
          <w:tcPr>
            <w:tcW w:w="4675" w:type="dxa"/>
          </w:tcPr>
          <w:p w:rsidR="00254B37" w:rsidRPr="00254B37" w:rsidRDefault="00254B37" w:rsidP="00254B37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54B3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PLO4</w:t>
            </w:r>
            <w:r w:rsidRPr="00254B3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.1</w:t>
            </w:r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bối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doanh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đào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xu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proofErr w:type="spellEnd"/>
          </w:p>
          <w:p w:rsidR="00254B37" w:rsidRPr="00254B37" w:rsidRDefault="00254B37" w:rsidP="00254B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B3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PLO4.2</w:t>
            </w:r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Hình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ý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tưởng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thiết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cải</w:t>
            </w:r>
            <w:proofErr w:type="spellEnd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tiến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biên-phiên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du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hành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thông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đáp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nghề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bối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nhập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254B37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tế</w:t>
            </w:r>
            <w:bookmarkStart w:id="0" w:name="_GoBack"/>
            <w:bookmarkEnd w:id="0"/>
            <w:proofErr w:type="spellEnd"/>
          </w:p>
        </w:tc>
      </w:tr>
    </w:tbl>
    <w:p w:rsidR="00254B37" w:rsidRPr="00254B37" w:rsidRDefault="00254B37" w:rsidP="00254B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54B37" w:rsidRPr="0025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7"/>
    <w:rsid w:val="00254B37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BA5F"/>
  <w15:chartTrackingRefBased/>
  <w15:docId w15:val="{1BC9E3B4-2704-4FBA-B8C3-678C163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2024-10-16T04:18:00Z</dcterms:created>
  <dcterms:modified xsi:type="dcterms:W3CDTF">2024-10-16T04:28:00Z</dcterms:modified>
</cp:coreProperties>
</file>