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CEBEE" w14:textId="77777777" w:rsidR="003B15B6" w:rsidRPr="00551DA4" w:rsidRDefault="003B15B6" w:rsidP="003B15B6">
      <w:pPr>
        <w:tabs>
          <w:tab w:val="left" w:pos="2938"/>
        </w:tabs>
        <w:spacing w:before="0" w:after="0"/>
        <w:ind w:firstLine="0"/>
        <w:jc w:val="center"/>
        <w:rPr>
          <w:rFonts w:eastAsia="Times New Roman"/>
          <w:b/>
          <w:bCs/>
          <w:color w:val="auto"/>
          <w:lang w:eastAsia="vi-VN"/>
        </w:rPr>
      </w:pPr>
      <w:bookmarkStart w:id="0" w:name="_GoBack"/>
      <w:bookmarkEnd w:id="0"/>
      <w:r w:rsidRPr="00551DA4">
        <w:rPr>
          <w:rFonts w:eastAsia="Times New Roman"/>
          <w:b/>
          <w:bCs/>
          <w:color w:val="auto"/>
          <w:lang w:eastAsia="vi-VN"/>
        </w:rPr>
        <w:t>Mã học phần: LIT20006. Tên học phần: Cơ sở văn hóa Việt Nam</w:t>
      </w:r>
    </w:p>
    <w:p w14:paraId="2443ED1E" w14:textId="77777777" w:rsidR="003B15B6" w:rsidRPr="00551DA4" w:rsidRDefault="003B15B6" w:rsidP="003B15B6">
      <w:pPr>
        <w:spacing w:after="0"/>
        <w:rPr>
          <w:b/>
        </w:rPr>
      </w:pPr>
      <w:r w:rsidRPr="00551DA4">
        <w:rPr>
          <w:b/>
        </w:rPr>
        <w:t>1. Mô tả học phần</w:t>
      </w:r>
    </w:p>
    <w:p w14:paraId="5CEC61B4" w14:textId="55164FCB" w:rsidR="003B15B6" w:rsidRPr="00551DA4" w:rsidRDefault="003B15B6" w:rsidP="003B15B6">
      <w:pPr>
        <w:spacing w:after="0"/>
        <w:rPr>
          <w:b/>
        </w:rPr>
      </w:pPr>
      <w:r w:rsidRPr="00551DA4">
        <w:rPr>
          <w:lang w:val="nl-NL"/>
        </w:rPr>
        <w:t xml:space="preserve">Học phần </w:t>
      </w:r>
      <w:r w:rsidRPr="00551DA4">
        <w:rPr>
          <w:i/>
          <w:lang w:val="nl-NL"/>
        </w:rPr>
        <w:t xml:space="preserve">Cơ sở văn hóa Việt Nam </w:t>
      </w:r>
      <w:r w:rsidRPr="00551DA4">
        <w:rPr>
          <w:lang w:val="nl-NL"/>
        </w:rPr>
        <w:t xml:space="preserve">thuộc khối kiến thức </w:t>
      </w:r>
      <w:r w:rsidR="00403DEC" w:rsidRPr="00551DA4">
        <w:rPr>
          <w:lang w:val="nl-NL"/>
        </w:rPr>
        <w:t>đại cương</w:t>
      </w:r>
      <w:r w:rsidRPr="00551DA4">
        <w:rPr>
          <w:lang w:val="nl-NL"/>
        </w:rPr>
        <w:t>, dạy cho sinh viên khối ngành Sư phạm xã hội và Khoa học xã hộ</w:t>
      </w:r>
      <w:r w:rsidR="00403DEC" w:rsidRPr="00551DA4">
        <w:rPr>
          <w:lang w:val="nl-NL"/>
        </w:rPr>
        <w:t xml:space="preserve">i &amp; </w:t>
      </w:r>
      <w:r w:rsidRPr="00551DA4">
        <w:rPr>
          <w:lang w:val="nl-NL"/>
        </w:rPr>
        <w:t>nhân văn.</w:t>
      </w:r>
      <w:r w:rsidRPr="00551DA4">
        <w:t xml:space="preserve"> Học phần cung cấp cho sinh viên những kiến thức nền tảng về văn hóa học, văn hóa Việt Nam, giúp sinh viên hiểu được quy luật hình thành và phát triển của văn hóa, qua đó, lí giải và đánh giá đúng các hiện tượng văn hóa Việt Nam cụ thể. </w:t>
      </w:r>
    </w:p>
    <w:p w14:paraId="736D0D01" w14:textId="77777777" w:rsidR="003B15B6" w:rsidRPr="00551DA4" w:rsidRDefault="003B15B6" w:rsidP="003B15B6">
      <w:pPr>
        <w:spacing w:after="0"/>
        <w:rPr>
          <w:b/>
        </w:rPr>
      </w:pPr>
      <w:r w:rsidRPr="00551DA4">
        <w:rPr>
          <w:b/>
        </w:rPr>
        <w:t>2. Mục tiêu học phần</w:t>
      </w:r>
    </w:p>
    <w:p w14:paraId="2E7862DA" w14:textId="17E0C174" w:rsidR="003B15B6" w:rsidRPr="00551DA4" w:rsidRDefault="003B15B6" w:rsidP="00403DEC">
      <w:pPr>
        <w:spacing w:after="0"/>
      </w:pPr>
      <w:r w:rsidRPr="00551DA4">
        <w:rPr>
          <w:iCs/>
        </w:rPr>
        <w:t>Học học phần này, sinh viên sẽ</w:t>
      </w:r>
      <w:r w:rsidR="00403DEC" w:rsidRPr="00551DA4">
        <w:rPr>
          <w:iCs/>
        </w:rPr>
        <w:t xml:space="preserve"> </w:t>
      </w:r>
      <w:r w:rsidR="00403DEC" w:rsidRPr="00551DA4">
        <w:rPr>
          <w:i/>
          <w:iCs/>
        </w:rPr>
        <w:t>hiểu</w:t>
      </w:r>
      <w:r w:rsidR="00403DEC" w:rsidRPr="00551DA4">
        <w:rPr>
          <w:iCs/>
        </w:rPr>
        <w:t xml:space="preserve"> </w:t>
      </w:r>
      <w:r w:rsidRPr="00551DA4">
        <w:t xml:space="preserve">được </w:t>
      </w:r>
      <w:r w:rsidRPr="00551DA4">
        <w:rPr>
          <w:color w:val="000000" w:themeColor="text1"/>
          <w:lang w:val="nl-NL"/>
        </w:rPr>
        <w:t xml:space="preserve">những tri thức cơ bản, cần thiết </w:t>
      </w:r>
      <w:r w:rsidR="00403DEC" w:rsidRPr="00551DA4">
        <w:rPr>
          <w:color w:val="000000" w:themeColor="text1"/>
          <w:lang w:val="nl-NL"/>
        </w:rPr>
        <w:t xml:space="preserve">về </w:t>
      </w:r>
      <w:r w:rsidRPr="00551DA4">
        <w:rPr>
          <w:color w:val="000000" w:themeColor="text1"/>
          <w:lang w:val="nl-NL"/>
        </w:rPr>
        <w:t xml:space="preserve">văn hóa Việt Nam (khái niệm, bản chất, đặc trưng, chức năng, cấu trúc, quy luật hình thành, phát triển) và vận dụng </w:t>
      </w:r>
      <w:r w:rsidRPr="00551DA4">
        <w:t>được tri thức đó vào phân tích, đánh giá, lí giải các hiện tượng văn hóa cụ thể (văn hóa vật chất, văn hóa tinh thần, văn hóa xã hội, không gian văn hóa, thời gian văn hóa…)</w:t>
      </w:r>
      <w:r w:rsidR="00403DEC" w:rsidRPr="00551DA4">
        <w:rPr>
          <w:color w:val="000000" w:themeColor="text1"/>
          <w:lang w:val="nl-NL"/>
        </w:rPr>
        <w:t xml:space="preserve">. Học phần còn </w:t>
      </w:r>
      <w:r w:rsidR="00403DEC" w:rsidRPr="00551DA4">
        <w:rPr>
          <w:i/>
        </w:rPr>
        <w:t>h</w:t>
      </w:r>
      <w:r w:rsidRPr="00551DA4">
        <w:rPr>
          <w:i/>
          <w:iCs/>
        </w:rPr>
        <w:t>ình thành</w:t>
      </w:r>
      <w:r w:rsidRPr="00551DA4">
        <w:t xml:space="preserve"> </w:t>
      </w:r>
      <w:r w:rsidR="00403DEC" w:rsidRPr="00551DA4">
        <w:t xml:space="preserve">ở người học tư duy phản biện, </w:t>
      </w:r>
      <w:r w:rsidRPr="00551DA4">
        <w:t xml:space="preserve">tư duy </w:t>
      </w:r>
      <w:r w:rsidR="00403DEC" w:rsidRPr="00551DA4">
        <w:t xml:space="preserve">hệ thống về các vấn đề văn hóa; </w:t>
      </w:r>
      <w:r w:rsidR="00403DEC" w:rsidRPr="00551DA4">
        <w:rPr>
          <w:i/>
        </w:rPr>
        <w:t>n</w:t>
      </w:r>
      <w:r w:rsidRPr="00551DA4">
        <w:rPr>
          <w:i/>
        </w:rPr>
        <w:t>hận biết</w:t>
      </w:r>
      <w:r w:rsidRPr="00551DA4">
        <w:t xml:space="preserve"> được những tác động, ảnh hưởng của bối cảnh văn hóa – xã hội </w:t>
      </w:r>
      <w:r w:rsidR="00403DEC" w:rsidRPr="00551DA4">
        <w:t xml:space="preserve">đối </w:t>
      </w:r>
      <w:r w:rsidRPr="00551DA4">
        <w:t xml:space="preserve">với </w:t>
      </w:r>
      <w:r w:rsidR="00403DEC" w:rsidRPr="00551DA4">
        <w:t xml:space="preserve">thực tiễn </w:t>
      </w:r>
      <w:r w:rsidRPr="00551DA4">
        <w:t>nghề nghiệ</w:t>
      </w:r>
      <w:r w:rsidR="00403DEC" w:rsidRPr="00551DA4">
        <w:t>p.</w:t>
      </w:r>
    </w:p>
    <w:p w14:paraId="5B751EBC" w14:textId="77777777" w:rsidR="003B15B6" w:rsidRPr="00551DA4" w:rsidRDefault="003B15B6" w:rsidP="003B15B6">
      <w:pPr>
        <w:spacing w:after="0"/>
        <w:rPr>
          <w:b/>
        </w:rPr>
      </w:pPr>
      <w:r w:rsidRPr="00551DA4">
        <w:rPr>
          <w:b/>
        </w:rPr>
        <w:t>3. Chuẩn đầu ra học phần, phương pháp dạy học, phương pháp đánh giá</w:t>
      </w: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3B15B6" w:rsidRPr="00551DA4" w14:paraId="22D45F82" w14:textId="77777777" w:rsidTr="00BA5AE7">
        <w:tc>
          <w:tcPr>
            <w:tcW w:w="1725" w:type="dxa"/>
          </w:tcPr>
          <w:p w14:paraId="3728EE76" w14:textId="77777777" w:rsidR="003B15B6" w:rsidRPr="00551DA4" w:rsidRDefault="003B15B6" w:rsidP="00BA5AE7">
            <w:pPr>
              <w:jc w:val="center"/>
              <w:rPr>
                <w:b/>
              </w:rPr>
            </w:pPr>
            <w:r w:rsidRPr="00551DA4">
              <w:rPr>
                <w:b/>
              </w:rPr>
              <w:t>CĐR học phần (CLO)</w:t>
            </w:r>
          </w:p>
        </w:tc>
        <w:tc>
          <w:tcPr>
            <w:tcW w:w="1422" w:type="dxa"/>
          </w:tcPr>
          <w:p w14:paraId="3850E861" w14:textId="77777777" w:rsidR="003B15B6" w:rsidRPr="00551DA4" w:rsidRDefault="003B15B6" w:rsidP="00BA5AE7">
            <w:pPr>
              <w:rPr>
                <w:b/>
              </w:rPr>
            </w:pPr>
            <w:r w:rsidRPr="00551DA4">
              <w:rPr>
                <w:b/>
              </w:rPr>
              <w:t xml:space="preserve">TĐNL CĐR học phần </w:t>
            </w:r>
          </w:p>
        </w:tc>
        <w:tc>
          <w:tcPr>
            <w:tcW w:w="3118" w:type="dxa"/>
          </w:tcPr>
          <w:p w14:paraId="12EF9DF8" w14:textId="77777777" w:rsidR="003B15B6" w:rsidRPr="00551DA4" w:rsidRDefault="003B15B6" w:rsidP="00BA5AE7">
            <w:pPr>
              <w:jc w:val="center"/>
              <w:rPr>
                <w:b/>
              </w:rPr>
            </w:pPr>
            <w:r w:rsidRPr="00551DA4">
              <w:rPr>
                <w:b/>
              </w:rPr>
              <w:t>Mô tả CĐR học phần</w:t>
            </w:r>
          </w:p>
        </w:tc>
        <w:tc>
          <w:tcPr>
            <w:tcW w:w="1560" w:type="dxa"/>
          </w:tcPr>
          <w:p w14:paraId="0D8BE693" w14:textId="77777777" w:rsidR="003B15B6" w:rsidRPr="00551DA4" w:rsidRDefault="003B15B6" w:rsidP="00BA5AE7">
            <w:pPr>
              <w:jc w:val="center"/>
              <w:rPr>
                <w:b/>
              </w:rPr>
            </w:pPr>
            <w:r w:rsidRPr="00551DA4">
              <w:rPr>
                <w:b/>
              </w:rPr>
              <w:t>Phương pháp dạy học</w:t>
            </w:r>
          </w:p>
        </w:tc>
        <w:tc>
          <w:tcPr>
            <w:tcW w:w="1559" w:type="dxa"/>
          </w:tcPr>
          <w:p w14:paraId="4B1940B6" w14:textId="77777777" w:rsidR="003B15B6" w:rsidRPr="00551DA4" w:rsidRDefault="003B15B6" w:rsidP="00BA5AE7">
            <w:pPr>
              <w:jc w:val="center"/>
              <w:rPr>
                <w:b/>
              </w:rPr>
            </w:pPr>
            <w:r w:rsidRPr="00551DA4">
              <w:rPr>
                <w:b/>
              </w:rPr>
              <w:t>Phương pháp đánh giá</w:t>
            </w:r>
          </w:p>
        </w:tc>
      </w:tr>
      <w:tr w:rsidR="003B15B6" w:rsidRPr="00551DA4" w14:paraId="1C8BB3D3" w14:textId="77777777" w:rsidTr="00BA5AE7">
        <w:trPr>
          <w:trHeight w:val="265"/>
        </w:trPr>
        <w:tc>
          <w:tcPr>
            <w:tcW w:w="1725" w:type="dxa"/>
            <w:vAlign w:val="center"/>
          </w:tcPr>
          <w:p w14:paraId="4860CC74" w14:textId="77777777" w:rsidR="003B15B6" w:rsidRPr="00551DA4" w:rsidRDefault="003B15B6" w:rsidP="00BA5AE7">
            <w:pPr>
              <w:spacing w:line="276" w:lineRule="auto"/>
              <w:ind w:firstLine="0"/>
              <w:jc w:val="center"/>
            </w:pPr>
            <w:r w:rsidRPr="00551DA4">
              <w:t>CLO1.1</w:t>
            </w:r>
          </w:p>
          <w:p w14:paraId="449049E5" w14:textId="77777777" w:rsidR="003B15B6" w:rsidRPr="00551DA4" w:rsidRDefault="003B15B6" w:rsidP="00BA5AE7">
            <w:pPr>
              <w:jc w:val="center"/>
            </w:pPr>
          </w:p>
        </w:tc>
        <w:tc>
          <w:tcPr>
            <w:tcW w:w="1422" w:type="dxa"/>
            <w:vAlign w:val="center"/>
          </w:tcPr>
          <w:p w14:paraId="6E6FA22B" w14:textId="77777777" w:rsidR="003B15B6" w:rsidRPr="00551DA4" w:rsidRDefault="003B15B6" w:rsidP="00BA5AE7">
            <w:pPr>
              <w:spacing w:line="276" w:lineRule="auto"/>
            </w:pPr>
            <w:r w:rsidRPr="00551DA4">
              <w:t>K3</w:t>
            </w:r>
          </w:p>
          <w:p w14:paraId="4BAD2C81" w14:textId="77777777" w:rsidR="003B15B6" w:rsidRPr="00551DA4" w:rsidRDefault="003B15B6" w:rsidP="00BA5AE7">
            <w:pPr>
              <w:spacing w:line="276" w:lineRule="auto"/>
              <w:ind w:firstLine="0"/>
              <w:jc w:val="center"/>
            </w:pPr>
          </w:p>
        </w:tc>
        <w:tc>
          <w:tcPr>
            <w:tcW w:w="3118" w:type="dxa"/>
          </w:tcPr>
          <w:p w14:paraId="4D912575" w14:textId="60764897" w:rsidR="003B15B6" w:rsidRPr="00551DA4" w:rsidRDefault="00403DEC" w:rsidP="00BA5AE7">
            <w:pPr>
              <w:ind w:firstLine="0"/>
            </w:pPr>
            <w:r w:rsidRPr="00551DA4">
              <w:rPr>
                <w:i/>
              </w:rPr>
              <w:t>Hiểu</w:t>
            </w:r>
            <w:r w:rsidR="003B15B6" w:rsidRPr="00551DA4">
              <w:t xml:space="preserve"> được </w:t>
            </w:r>
            <w:r w:rsidR="003B15B6" w:rsidRPr="00551DA4">
              <w:rPr>
                <w:color w:val="000000" w:themeColor="text1"/>
                <w:lang w:val="nl-NL"/>
              </w:rPr>
              <w:t>những kiến thức nền tảng về văn hóa hoc, văn hóa Việt Nam (khái niệm, bản chất, đặc trưng, chức năng, cấu trúc, quy luật hình thành, phát triển; các thành tố văn hóa, các giai đoạn văn hóa, các vùng văn hóa, vấn đề biến đổi văn hóa)</w:t>
            </w:r>
          </w:p>
        </w:tc>
        <w:tc>
          <w:tcPr>
            <w:tcW w:w="1560" w:type="dxa"/>
          </w:tcPr>
          <w:p w14:paraId="5456D61D" w14:textId="77777777" w:rsidR="003B15B6" w:rsidRPr="00551DA4" w:rsidRDefault="003B15B6" w:rsidP="00BA5AE7">
            <w:pPr>
              <w:ind w:firstLine="0"/>
              <w:rPr>
                <w:iCs/>
              </w:rPr>
            </w:pPr>
            <w:r w:rsidRPr="00551DA4">
              <w:rPr>
                <w:iCs/>
              </w:rPr>
              <w:t>- Vấn đáp</w:t>
            </w:r>
          </w:p>
          <w:p w14:paraId="226103DC" w14:textId="77777777" w:rsidR="003B15B6" w:rsidRPr="00551DA4" w:rsidRDefault="003B15B6" w:rsidP="00BA5AE7">
            <w:pPr>
              <w:ind w:firstLine="0"/>
            </w:pPr>
            <w:r w:rsidRPr="00551DA4">
              <w:rPr>
                <w:iCs/>
              </w:rPr>
              <w:t>- Bài tập</w:t>
            </w:r>
          </w:p>
        </w:tc>
        <w:tc>
          <w:tcPr>
            <w:tcW w:w="1559" w:type="dxa"/>
          </w:tcPr>
          <w:p w14:paraId="7EDDC2EB" w14:textId="77777777" w:rsidR="003B15B6" w:rsidRPr="00551DA4" w:rsidRDefault="003B15B6" w:rsidP="00BA5AE7">
            <w:pPr>
              <w:ind w:firstLine="0"/>
              <w:rPr>
                <w:iCs/>
              </w:rPr>
            </w:pPr>
            <w:r w:rsidRPr="00551DA4">
              <w:rPr>
                <w:iCs/>
              </w:rPr>
              <w:t>- Hồ sơ học tập</w:t>
            </w:r>
          </w:p>
        </w:tc>
      </w:tr>
      <w:tr w:rsidR="003B15B6" w:rsidRPr="00551DA4" w14:paraId="0FF29725" w14:textId="77777777" w:rsidTr="00BA5AE7">
        <w:trPr>
          <w:trHeight w:val="243"/>
        </w:trPr>
        <w:tc>
          <w:tcPr>
            <w:tcW w:w="1725" w:type="dxa"/>
            <w:vAlign w:val="center"/>
          </w:tcPr>
          <w:p w14:paraId="367E6245" w14:textId="77777777" w:rsidR="003B15B6" w:rsidRPr="00551DA4" w:rsidRDefault="003B15B6" w:rsidP="00BA5AE7">
            <w:pPr>
              <w:spacing w:line="276" w:lineRule="auto"/>
              <w:ind w:firstLine="0"/>
              <w:jc w:val="center"/>
            </w:pPr>
            <w:r w:rsidRPr="00551DA4">
              <w:t>CLO1.2</w:t>
            </w:r>
          </w:p>
        </w:tc>
        <w:tc>
          <w:tcPr>
            <w:tcW w:w="1422" w:type="dxa"/>
            <w:vAlign w:val="center"/>
          </w:tcPr>
          <w:p w14:paraId="298CC8E2" w14:textId="77777777" w:rsidR="003B15B6" w:rsidRPr="00551DA4" w:rsidRDefault="003B15B6" w:rsidP="00BA5AE7">
            <w:pPr>
              <w:spacing w:line="276" w:lineRule="auto"/>
            </w:pPr>
            <w:r w:rsidRPr="00551DA4">
              <w:t>K3</w:t>
            </w:r>
          </w:p>
        </w:tc>
        <w:tc>
          <w:tcPr>
            <w:tcW w:w="3118" w:type="dxa"/>
          </w:tcPr>
          <w:p w14:paraId="19035B73" w14:textId="4F72CAA5" w:rsidR="003B15B6" w:rsidRPr="00551DA4" w:rsidRDefault="00403DEC" w:rsidP="00BA5AE7">
            <w:pPr>
              <w:spacing w:after="0"/>
              <w:ind w:firstLine="0"/>
              <w:rPr>
                <w:b/>
              </w:rPr>
            </w:pPr>
            <w:r w:rsidRPr="00551DA4">
              <w:rPr>
                <w:i/>
                <w:color w:val="000000" w:themeColor="text1"/>
                <w:lang w:val="nl-NL"/>
              </w:rPr>
              <w:t>P</w:t>
            </w:r>
            <w:r w:rsidR="003B15B6" w:rsidRPr="00551DA4">
              <w:rPr>
                <w:i/>
              </w:rPr>
              <w:t>hân tích, đánh giá, lí giải</w:t>
            </w:r>
            <w:r w:rsidR="003B15B6" w:rsidRPr="00551DA4">
              <w:t xml:space="preserve"> các hiện tượng văn hóa Việt Nam cụ thể (văn hóa vật chất, văn hóa tinh thần, văn hóa xã hội, không gian văn hóa, thời gian văn hóa…)</w:t>
            </w:r>
            <w:r w:rsidR="003B15B6" w:rsidRPr="00551DA4">
              <w:rPr>
                <w:color w:val="000000" w:themeColor="text1"/>
                <w:lang w:val="nl-NL"/>
              </w:rPr>
              <w:t xml:space="preserve"> </w:t>
            </w:r>
          </w:p>
        </w:tc>
        <w:tc>
          <w:tcPr>
            <w:tcW w:w="1560" w:type="dxa"/>
          </w:tcPr>
          <w:p w14:paraId="30D7F9FC" w14:textId="77777777" w:rsidR="003B15B6" w:rsidRPr="00551DA4" w:rsidRDefault="003B15B6" w:rsidP="00BA5AE7">
            <w:pPr>
              <w:ind w:firstLine="0"/>
            </w:pPr>
          </w:p>
        </w:tc>
        <w:tc>
          <w:tcPr>
            <w:tcW w:w="1559" w:type="dxa"/>
          </w:tcPr>
          <w:p w14:paraId="689DFCA8" w14:textId="77777777" w:rsidR="003B15B6" w:rsidRPr="00551DA4" w:rsidRDefault="003B15B6" w:rsidP="00BA5AE7">
            <w:r w:rsidRPr="00551DA4">
              <w:t>…..</w:t>
            </w:r>
          </w:p>
        </w:tc>
      </w:tr>
      <w:tr w:rsidR="003B15B6" w:rsidRPr="00551DA4" w14:paraId="2998C2B8" w14:textId="77777777" w:rsidTr="00BA5AE7">
        <w:trPr>
          <w:trHeight w:val="362"/>
        </w:trPr>
        <w:tc>
          <w:tcPr>
            <w:tcW w:w="1725" w:type="dxa"/>
            <w:vAlign w:val="center"/>
          </w:tcPr>
          <w:p w14:paraId="689D1F4F" w14:textId="77777777" w:rsidR="003B15B6" w:rsidRPr="00551DA4" w:rsidRDefault="003B15B6" w:rsidP="00BA5AE7">
            <w:pPr>
              <w:spacing w:line="276" w:lineRule="auto"/>
              <w:ind w:firstLine="0"/>
              <w:jc w:val="center"/>
            </w:pPr>
            <w:r w:rsidRPr="00551DA4">
              <w:t>CLO2.1</w:t>
            </w:r>
          </w:p>
        </w:tc>
        <w:tc>
          <w:tcPr>
            <w:tcW w:w="1422" w:type="dxa"/>
            <w:vAlign w:val="center"/>
          </w:tcPr>
          <w:p w14:paraId="6EC714BB" w14:textId="77777777" w:rsidR="003B15B6" w:rsidRPr="00551DA4" w:rsidRDefault="003B15B6" w:rsidP="00BA5AE7">
            <w:pPr>
              <w:spacing w:line="276" w:lineRule="auto"/>
            </w:pPr>
            <w:r w:rsidRPr="00551DA4">
              <w:t>S2</w:t>
            </w:r>
          </w:p>
        </w:tc>
        <w:tc>
          <w:tcPr>
            <w:tcW w:w="3118" w:type="dxa"/>
          </w:tcPr>
          <w:p w14:paraId="66732D83" w14:textId="655563C1" w:rsidR="003B15B6" w:rsidRPr="00551DA4" w:rsidRDefault="003B15B6" w:rsidP="00403DEC">
            <w:pPr>
              <w:ind w:firstLine="0"/>
            </w:pPr>
            <w:r w:rsidRPr="00551DA4">
              <w:rPr>
                <w:i/>
              </w:rPr>
              <w:t xml:space="preserve">Biết </w:t>
            </w:r>
            <w:r w:rsidRPr="00551DA4">
              <w:rPr>
                <w:iCs/>
              </w:rPr>
              <w:t>phân tích</w:t>
            </w:r>
            <w:r w:rsidR="00403DEC" w:rsidRPr="00551DA4">
              <w:rPr>
                <w:iCs/>
              </w:rPr>
              <w:t>, đánh giá</w:t>
            </w:r>
            <w:r w:rsidRPr="00551DA4">
              <w:rPr>
                <w:iCs/>
              </w:rPr>
              <w:t xml:space="preserve"> các hiện tượng văn hóa Việt Nam theo tính hệ thống; </w:t>
            </w:r>
            <w:r w:rsidRPr="00551DA4">
              <w:t>có ý thức phản biện các vấn đề, hiện tượng văn hóa Việt Nam.</w:t>
            </w:r>
          </w:p>
        </w:tc>
        <w:tc>
          <w:tcPr>
            <w:tcW w:w="1560" w:type="dxa"/>
          </w:tcPr>
          <w:p w14:paraId="6BA5E3DD" w14:textId="77777777" w:rsidR="003B15B6" w:rsidRPr="00551DA4" w:rsidRDefault="003B15B6" w:rsidP="00BA5AE7">
            <w:r w:rsidRPr="00551DA4">
              <w:t>….</w:t>
            </w:r>
          </w:p>
        </w:tc>
        <w:tc>
          <w:tcPr>
            <w:tcW w:w="1559" w:type="dxa"/>
          </w:tcPr>
          <w:p w14:paraId="562376FE" w14:textId="77777777" w:rsidR="003B15B6" w:rsidRPr="00551DA4" w:rsidRDefault="003B15B6" w:rsidP="00BA5AE7">
            <w:r w:rsidRPr="00551DA4">
              <w:t>….</w:t>
            </w:r>
          </w:p>
        </w:tc>
      </w:tr>
      <w:tr w:rsidR="003B15B6" w:rsidRPr="00551DA4" w14:paraId="5391181B" w14:textId="77777777" w:rsidTr="00BA5AE7">
        <w:trPr>
          <w:trHeight w:val="362"/>
        </w:trPr>
        <w:tc>
          <w:tcPr>
            <w:tcW w:w="1725" w:type="dxa"/>
            <w:vAlign w:val="center"/>
          </w:tcPr>
          <w:p w14:paraId="6472DB84" w14:textId="77777777" w:rsidR="003B15B6" w:rsidRPr="00551DA4" w:rsidRDefault="003B15B6" w:rsidP="00BA5AE7">
            <w:pPr>
              <w:spacing w:line="276" w:lineRule="auto"/>
              <w:ind w:firstLine="0"/>
              <w:jc w:val="center"/>
            </w:pPr>
            <w:r w:rsidRPr="00551DA4">
              <w:t>CLO2.2</w:t>
            </w:r>
          </w:p>
        </w:tc>
        <w:tc>
          <w:tcPr>
            <w:tcW w:w="1422" w:type="dxa"/>
            <w:vAlign w:val="center"/>
          </w:tcPr>
          <w:p w14:paraId="255C4C84" w14:textId="77777777" w:rsidR="003B15B6" w:rsidRPr="00551DA4" w:rsidRDefault="003B15B6" w:rsidP="00BA5AE7">
            <w:pPr>
              <w:spacing w:line="276" w:lineRule="auto"/>
            </w:pPr>
            <w:r w:rsidRPr="00551DA4">
              <w:t>S2</w:t>
            </w:r>
          </w:p>
        </w:tc>
        <w:tc>
          <w:tcPr>
            <w:tcW w:w="3118" w:type="dxa"/>
          </w:tcPr>
          <w:p w14:paraId="60F03D91" w14:textId="77777777" w:rsidR="003B15B6" w:rsidRPr="00551DA4" w:rsidRDefault="003B15B6" w:rsidP="00BA5AE7">
            <w:pPr>
              <w:ind w:firstLine="0"/>
              <w:rPr>
                <w:i/>
              </w:rPr>
            </w:pPr>
            <w:r w:rsidRPr="00551DA4">
              <w:t xml:space="preserve">Chủ động </w:t>
            </w:r>
            <w:r w:rsidRPr="00551DA4">
              <w:rPr>
                <w:i/>
              </w:rPr>
              <w:t>tìm kiếm, cập nhật</w:t>
            </w:r>
            <w:r w:rsidRPr="00551DA4">
              <w:t xml:space="preserve"> kịp thời các thông tin liên quan đến nội dung học tập của học phần.</w:t>
            </w:r>
          </w:p>
        </w:tc>
        <w:tc>
          <w:tcPr>
            <w:tcW w:w="1560" w:type="dxa"/>
          </w:tcPr>
          <w:p w14:paraId="7B76C6CD" w14:textId="77777777" w:rsidR="003B15B6" w:rsidRPr="00551DA4" w:rsidRDefault="003B15B6" w:rsidP="00BA5AE7"/>
        </w:tc>
        <w:tc>
          <w:tcPr>
            <w:tcW w:w="1559" w:type="dxa"/>
          </w:tcPr>
          <w:p w14:paraId="16B5B297" w14:textId="77777777" w:rsidR="003B15B6" w:rsidRPr="00551DA4" w:rsidRDefault="003B15B6" w:rsidP="00BA5AE7"/>
        </w:tc>
      </w:tr>
      <w:tr w:rsidR="003B15B6" w:rsidRPr="00551DA4" w14:paraId="7EEAAC2E" w14:textId="77777777" w:rsidTr="00BA5AE7">
        <w:trPr>
          <w:trHeight w:val="362"/>
        </w:trPr>
        <w:tc>
          <w:tcPr>
            <w:tcW w:w="1725" w:type="dxa"/>
            <w:vAlign w:val="center"/>
          </w:tcPr>
          <w:p w14:paraId="0056A811" w14:textId="77777777" w:rsidR="003B15B6" w:rsidRPr="00551DA4" w:rsidRDefault="003B15B6" w:rsidP="00BA5AE7">
            <w:pPr>
              <w:spacing w:line="276" w:lineRule="auto"/>
              <w:ind w:firstLine="0"/>
              <w:jc w:val="center"/>
            </w:pPr>
            <w:r w:rsidRPr="00551DA4">
              <w:t>CLO3.1</w:t>
            </w:r>
          </w:p>
        </w:tc>
        <w:tc>
          <w:tcPr>
            <w:tcW w:w="1422" w:type="dxa"/>
            <w:vAlign w:val="center"/>
          </w:tcPr>
          <w:p w14:paraId="177A4901" w14:textId="77777777" w:rsidR="003B15B6" w:rsidRPr="00551DA4" w:rsidRDefault="003B15B6" w:rsidP="00BA5AE7">
            <w:pPr>
              <w:spacing w:line="276" w:lineRule="auto"/>
            </w:pPr>
            <w:r w:rsidRPr="00551DA4">
              <w:t>S2</w:t>
            </w:r>
          </w:p>
        </w:tc>
        <w:tc>
          <w:tcPr>
            <w:tcW w:w="3118" w:type="dxa"/>
          </w:tcPr>
          <w:p w14:paraId="494F6103" w14:textId="77777777" w:rsidR="003B15B6" w:rsidRPr="00551DA4" w:rsidRDefault="003B15B6" w:rsidP="00BA5AE7">
            <w:pPr>
              <w:ind w:firstLine="0"/>
              <w:rPr>
                <w:i/>
              </w:rPr>
            </w:pPr>
            <w:r w:rsidRPr="00551DA4">
              <w:rPr>
                <w:i/>
              </w:rPr>
              <w:t>Thảo luận</w:t>
            </w:r>
            <w:r w:rsidRPr="00551DA4">
              <w:rPr>
                <w:i/>
                <w:lang w:val="vi-VN"/>
              </w:rPr>
              <w:t xml:space="preserve"> nhóm</w:t>
            </w:r>
            <w:r w:rsidRPr="00551DA4">
              <w:rPr>
                <w:lang w:val="vi-VN"/>
              </w:rPr>
              <w:t xml:space="preserve"> </w:t>
            </w:r>
            <w:r w:rsidRPr="00551DA4">
              <w:t>về một số chủ đề của học phần</w:t>
            </w:r>
          </w:p>
        </w:tc>
        <w:tc>
          <w:tcPr>
            <w:tcW w:w="1560" w:type="dxa"/>
          </w:tcPr>
          <w:p w14:paraId="05499A66" w14:textId="77777777" w:rsidR="003B15B6" w:rsidRPr="00551DA4" w:rsidRDefault="003B15B6" w:rsidP="00BA5AE7"/>
        </w:tc>
        <w:tc>
          <w:tcPr>
            <w:tcW w:w="1559" w:type="dxa"/>
          </w:tcPr>
          <w:p w14:paraId="73B4ECBB" w14:textId="77777777" w:rsidR="003B15B6" w:rsidRPr="00551DA4" w:rsidRDefault="003B15B6" w:rsidP="00BA5AE7"/>
        </w:tc>
      </w:tr>
      <w:tr w:rsidR="003B15B6" w:rsidRPr="00551DA4" w14:paraId="475BBD76" w14:textId="77777777" w:rsidTr="00BA5AE7">
        <w:trPr>
          <w:trHeight w:val="268"/>
        </w:trPr>
        <w:tc>
          <w:tcPr>
            <w:tcW w:w="1725" w:type="dxa"/>
            <w:vAlign w:val="center"/>
          </w:tcPr>
          <w:p w14:paraId="0BDC506F" w14:textId="77777777" w:rsidR="003B15B6" w:rsidRPr="00551DA4" w:rsidRDefault="003B15B6" w:rsidP="00BA5AE7">
            <w:pPr>
              <w:spacing w:line="276" w:lineRule="auto"/>
              <w:ind w:firstLine="0"/>
              <w:jc w:val="center"/>
            </w:pPr>
            <w:r w:rsidRPr="00551DA4">
              <w:lastRenderedPageBreak/>
              <w:t>CLO4.1</w:t>
            </w:r>
          </w:p>
        </w:tc>
        <w:tc>
          <w:tcPr>
            <w:tcW w:w="1422" w:type="dxa"/>
            <w:vAlign w:val="center"/>
          </w:tcPr>
          <w:p w14:paraId="1E065F35" w14:textId="77777777" w:rsidR="003B15B6" w:rsidRPr="00551DA4" w:rsidRDefault="003B15B6" w:rsidP="00BA5AE7">
            <w:pPr>
              <w:spacing w:line="276" w:lineRule="auto"/>
            </w:pPr>
            <w:r w:rsidRPr="00551DA4">
              <w:t>C2</w:t>
            </w:r>
          </w:p>
        </w:tc>
        <w:tc>
          <w:tcPr>
            <w:tcW w:w="3118" w:type="dxa"/>
          </w:tcPr>
          <w:p w14:paraId="757F4686" w14:textId="058B664B" w:rsidR="003B15B6" w:rsidRPr="00551DA4" w:rsidRDefault="003B15B6" w:rsidP="00403DEC">
            <w:pPr>
              <w:ind w:firstLine="0"/>
            </w:pPr>
            <w:r w:rsidRPr="00551DA4">
              <w:rPr>
                <w:i/>
                <w:spacing w:val="-6"/>
              </w:rPr>
              <w:t>Nhận biết</w:t>
            </w:r>
            <w:r w:rsidRPr="00551DA4">
              <w:rPr>
                <w:i/>
                <w:spacing w:val="-6"/>
                <w:lang w:val="vi-VN"/>
              </w:rPr>
              <w:t xml:space="preserve"> </w:t>
            </w:r>
            <w:r w:rsidRPr="00551DA4">
              <w:rPr>
                <w:spacing w:val="-6"/>
              </w:rPr>
              <w:t xml:space="preserve">(ban đầu) về ảnh hưởng, tác động  </w:t>
            </w:r>
            <w:r w:rsidRPr="00551DA4">
              <w:t xml:space="preserve">của bối cảnh văn hóa đến </w:t>
            </w:r>
            <w:r w:rsidR="00403DEC" w:rsidRPr="00551DA4">
              <w:t xml:space="preserve">thực tiễn </w:t>
            </w:r>
            <w:r w:rsidRPr="00551DA4">
              <w:t>nghề nghiệ</w:t>
            </w:r>
            <w:r w:rsidR="00403DEC" w:rsidRPr="00551DA4">
              <w:t>p</w:t>
            </w:r>
          </w:p>
        </w:tc>
        <w:tc>
          <w:tcPr>
            <w:tcW w:w="1560" w:type="dxa"/>
          </w:tcPr>
          <w:p w14:paraId="2EC16D74" w14:textId="77777777" w:rsidR="003B15B6" w:rsidRPr="00551DA4" w:rsidRDefault="003B15B6" w:rsidP="00BA5AE7"/>
        </w:tc>
        <w:tc>
          <w:tcPr>
            <w:tcW w:w="1559" w:type="dxa"/>
          </w:tcPr>
          <w:p w14:paraId="4D90CED6" w14:textId="77777777" w:rsidR="003B15B6" w:rsidRPr="00551DA4" w:rsidRDefault="003B15B6" w:rsidP="00BA5AE7"/>
        </w:tc>
      </w:tr>
    </w:tbl>
    <w:p w14:paraId="2A760692" w14:textId="77777777" w:rsidR="00E5620F" w:rsidRPr="00551DA4" w:rsidRDefault="00E5620F"/>
    <w:sectPr w:rsidR="00E5620F" w:rsidRPr="00551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B6"/>
    <w:rsid w:val="003B15B6"/>
    <w:rsid w:val="003D0835"/>
    <w:rsid w:val="00403DEC"/>
    <w:rsid w:val="00551DA4"/>
    <w:rsid w:val="005B5231"/>
    <w:rsid w:val="007E1B58"/>
    <w:rsid w:val="00B96B2C"/>
    <w:rsid w:val="00E5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B6"/>
    <w:pPr>
      <w:spacing w:before="60" w:after="60" w:line="240" w:lineRule="auto"/>
      <w:ind w:firstLine="567"/>
      <w:jc w:val="both"/>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5B6"/>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B6"/>
    <w:pPr>
      <w:spacing w:before="60" w:after="60" w:line="240" w:lineRule="auto"/>
      <w:ind w:firstLine="567"/>
      <w:jc w:val="both"/>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5B6"/>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Ngoc Ha</dc:creator>
  <cp:lastModifiedBy>Admin</cp:lastModifiedBy>
  <cp:revision>2</cp:revision>
  <dcterms:created xsi:type="dcterms:W3CDTF">2025-04-01T11:29:00Z</dcterms:created>
  <dcterms:modified xsi:type="dcterms:W3CDTF">2025-04-01T11:29:00Z</dcterms:modified>
</cp:coreProperties>
</file>